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F1" w:rsidRDefault="00911A2D">
      <w:pPr>
        <w:spacing w:line="216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Требования пожарной безопасности </w:t>
      </w:r>
      <w:r>
        <w:rPr>
          <w:b/>
          <w:bCs/>
          <w:sz w:val="36"/>
          <w:szCs w:val="36"/>
        </w:rPr>
        <w:t>в период пожароопасного сезона</w:t>
      </w:r>
    </w:p>
    <w:p w:rsidR="000E4BF1" w:rsidRDefault="000E4BF1">
      <w:pPr>
        <w:spacing w:line="216" w:lineRule="auto"/>
        <w:rPr>
          <w:szCs w:val="28"/>
        </w:rPr>
      </w:pPr>
    </w:p>
    <w:p w:rsidR="000E4BF1" w:rsidRDefault="00911A2D">
      <w:pPr>
        <w:spacing w:line="216" w:lineRule="auto"/>
        <w:ind w:firstLine="737"/>
        <w:jc w:val="both"/>
      </w:pPr>
      <w:r>
        <w:t xml:space="preserve">Пожароопасный сезон — это </w:t>
      </w:r>
      <w:proofErr w:type="spellStart"/>
      <w:r>
        <w:t>это</w:t>
      </w:r>
      <w:proofErr w:type="spellEnd"/>
      <w:r>
        <w:t xml:space="preserve"> период времени года с момента таяния снегового покрова до наступления устойчивой дождливой осенней погоды или образования снегового покрова. Наиболее </w:t>
      </w:r>
      <w:r>
        <w:t>пожароопасным периодом считается июнь – август.</w:t>
      </w:r>
    </w:p>
    <w:p w:rsidR="000E4BF1" w:rsidRDefault="00911A2D">
      <w:pPr>
        <w:spacing w:line="216" w:lineRule="auto"/>
        <w:ind w:firstLine="737"/>
        <w:jc w:val="both"/>
      </w:pPr>
      <w: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</w:t>
      </w:r>
      <w:r>
        <w:t>ответствующих территориях.</w:t>
      </w:r>
    </w:p>
    <w:p w:rsidR="000E4BF1" w:rsidRDefault="00911A2D">
      <w:pPr>
        <w:spacing w:line="216" w:lineRule="auto"/>
        <w:ind w:firstLine="737"/>
        <w:jc w:val="both"/>
      </w:pPr>
      <w:r>
        <w:t xml:space="preserve">В соответствии с приказом департамента </w:t>
      </w:r>
      <w:proofErr w:type="spellStart"/>
      <w:r>
        <w:t>недроиспользования</w:t>
      </w:r>
      <w:proofErr w:type="spellEnd"/>
      <w:r>
        <w:t xml:space="preserve"> природных ресурсов Ханты-Мансийского автономного округа-Югры от 11.04.2024 № 11-нп с 26 апреля 2024 года на территории Ханты-Мансийского автономного округа-Югры вводится п</w:t>
      </w:r>
      <w:r>
        <w:t xml:space="preserve">ожароопасный сезон. </w:t>
      </w:r>
    </w:p>
    <w:p w:rsidR="000E4BF1" w:rsidRDefault="00911A2D">
      <w:pPr>
        <w:spacing w:line="216" w:lineRule="auto"/>
        <w:ind w:firstLine="737"/>
        <w:jc w:val="both"/>
      </w:pPr>
      <w:r>
        <w:t xml:space="preserve">В соответствии с </w:t>
      </w:r>
      <w:r>
        <w:rPr>
          <w:b/>
          <w:bCs/>
        </w:rPr>
        <w:t xml:space="preserve">Правилами противопожарного режима в Российской Федерации, утвержденные 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П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остановлением Правительства Российской Федерации от 16.09.2020 № 1479: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70,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период со дня схода снежного покрова до установления устойчив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 правовых форм и форм собственности, крестьянские (фер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 гражданства, владеющие, пользующиеся и (или) распоряжающиеся территорией, прилегающей к лесу, обес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          10 метров от леса либо отделяют лес противопожарной минерализованной полосо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й шириной не менее 1,4 метра или иным противопожарным барьером;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74,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на объектах защиты, граничащих с лесничествами, а также расположенных в районах с торфяными почвами, предусматривается создание защитных противопожарных минерализованных полос шири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ной не менее 1,4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 Противопожарные минерализованные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полосы не должны препятствовать проезду к населенным пунктам и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водоисточникам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в целях пожаротушения. 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Запрещается использовать противопожарные минерализованные полосы и противопожарные расстояния для строительства различных сооружений и подсобных строений,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73,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р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уководитель организации, лица, владеющие, пользующиеся и (или) распоряжающ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иеся объектами защиты, обеспечивают очистку объекта защиты от горючих отходов, мусора, тары и сухой растительности.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Зона очистки от сухой травы, веток, других горючих материалов и сухостойных деревьев вокруг костра, место размещения запаса дров и огнетушащ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их средств должны составлять не менее 2 метров.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Не допускается разводить открытый огонь (костры) в местах, находящихся за территорией частных домовладений, на расстоянии менее 50 метров от объектов защиты. После завершения мероприятия или при усилении ветр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а костер или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lastRenderedPageBreak/>
        <w:t>кострище необходимо залить водой или засыпать песком (землей) до полного прекращения тления углей;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75,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ри наличии на территории садоводства или огородничества, а также на других объектах защиты или вблизи них (в радиусе 200 метров) ес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тественных или искусственных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водоисточников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(река, озеро, бассейн, градирня и др.) к ним должны быть устроены подъезды с площадками (пирсами) с твердым покрытием размером не менее 12 x 12 метров для установки пожарных автомобилей и забора воды в любое врем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71,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равообладатели земельных участков обеспечивают надлежащее техни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сточниками наружного противопожарного водоснабжения.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Запрещается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сле для забора воды, подачи средств тушения, доступа пожарных на объект защиты.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Физическим лицам запрещается препятствовать работе подразделений пожарной охраны, в том числе в пути следования подраз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делений пожарной охраны к месту пожара.</w:t>
      </w:r>
    </w:p>
    <w:p w:rsidR="000E4BF1" w:rsidRDefault="00911A2D">
      <w:pPr>
        <w:tabs>
          <w:tab w:val="left" w:pos="4875"/>
        </w:tabs>
        <w:spacing w:line="216" w:lineRule="auto"/>
        <w:ind w:firstLine="567"/>
        <w:jc w:val="both"/>
        <w:rPr>
          <w:bCs/>
          <w:color w:val="000000"/>
          <w:szCs w:val="28"/>
        </w:rPr>
      </w:pPr>
      <w:r>
        <w:rPr>
          <w:rFonts w:eastAsia="0" w:cs="Times New Roman"/>
          <w:bCs/>
          <w:color w:val="000000" w:themeColor="text1"/>
          <w:spacing w:val="4"/>
          <w:szCs w:val="28"/>
          <w:lang w:eastAsia="ar-SA"/>
        </w:rPr>
        <w:t xml:space="preserve">Также допускается ручное открывание шлагбаума при организации круглосуточного дежурства персонала непосредственно у места установки шлагбаума или дистанционно при устройстве видео- и </w:t>
      </w:r>
      <w:proofErr w:type="spellStart"/>
      <w:r>
        <w:rPr>
          <w:rFonts w:eastAsia="0" w:cs="Times New Roman"/>
          <w:bCs/>
          <w:color w:val="000000" w:themeColor="text1"/>
          <w:spacing w:val="4"/>
          <w:szCs w:val="28"/>
          <w:lang w:eastAsia="ar-SA"/>
        </w:rPr>
        <w:t>аудиосвязи</w:t>
      </w:r>
      <w:proofErr w:type="spellEnd"/>
      <w:r>
        <w:rPr>
          <w:rFonts w:eastAsia="0" w:cs="Times New Roman"/>
          <w:bCs/>
          <w:color w:val="000000" w:themeColor="text1"/>
          <w:spacing w:val="4"/>
          <w:szCs w:val="28"/>
          <w:lang w:eastAsia="ar-SA"/>
        </w:rPr>
        <w:t xml:space="preserve"> с местом их установки.</w:t>
      </w:r>
    </w:p>
    <w:p w:rsidR="000E4BF1" w:rsidRDefault="000E4BF1">
      <w:pPr>
        <w:spacing w:line="216" w:lineRule="auto"/>
        <w:ind w:firstLine="737"/>
        <w:jc w:val="both"/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0E4BF1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</w:p>
    <w:p w:rsidR="000E4BF1" w:rsidRDefault="00911A2D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Порядок использования открытого огня</w:t>
      </w:r>
    </w:p>
    <w:p w:rsidR="000E4BF1" w:rsidRDefault="000E4BF1">
      <w:pPr>
        <w:spacing w:line="216" w:lineRule="auto"/>
        <w:ind w:firstLine="737"/>
        <w:jc w:val="both"/>
      </w:pPr>
    </w:p>
    <w:p w:rsidR="000E4BF1" w:rsidRDefault="00911A2D">
      <w:pPr>
        <w:spacing w:line="216" w:lineRule="auto"/>
        <w:ind w:firstLine="737"/>
        <w:jc w:val="both"/>
      </w:pPr>
      <w:r>
        <w:t xml:space="preserve">В соответствии с </w:t>
      </w:r>
      <w:r>
        <w:rPr>
          <w:b/>
          <w:bCs/>
        </w:rPr>
        <w:t xml:space="preserve">приложением № 4 Правил противопожарного режима в Российской Федерации, </w:t>
      </w:r>
      <w:proofErr w:type="gramStart"/>
      <w:r>
        <w:rPr>
          <w:b/>
          <w:bCs/>
        </w:rPr>
        <w:t>утвержденные  Постановлением</w:t>
      </w:r>
      <w:proofErr w:type="gramEnd"/>
      <w:r>
        <w:rPr>
          <w:b/>
          <w:bCs/>
        </w:rPr>
        <w:t xml:space="preserve"> Правительства Российской Федерации от 16.09.2020 № 1479:</w:t>
      </w:r>
    </w:p>
    <w:p w:rsidR="000E4BF1" w:rsidRDefault="000E4BF1">
      <w:pPr>
        <w:spacing w:line="216" w:lineRule="auto"/>
        <w:ind w:firstLine="737"/>
        <w:jc w:val="both"/>
      </w:pP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1. </w:t>
      </w:r>
      <w:r>
        <w:rPr>
          <w:rFonts w:cs="Times New Roman"/>
          <w:szCs w:val="28"/>
        </w:rPr>
        <w:t xml:space="preserve">Настоящий порядок </w:t>
      </w:r>
      <w:r>
        <w:rPr>
          <w:rFonts w:cs="Times New Roman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</w:t>
      </w:r>
      <w:r>
        <w:rPr>
          <w:rFonts w:cs="Times New Roman"/>
          <w:szCs w:val="28"/>
        </w:rPr>
        <w:t>ю костров на землях сельскохозяйственного назначения, землях запаса и землях населенных пунктов (далее - использование открытого огня);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2. </w:t>
      </w:r>
      <w:r>
        <w:rPr>
          <w:rFonts w:cs="Times New Roman"/>
          <w:szCs w:val="28"/>
        </w:rPr>
        <w:t>Использование открытого огня должно осуществляться в специально оборудованных местах при выполнении следующих требова</w:t>
      </w:r>
      <w:r>
        <w:rPr>
          <w:rFonts w:cs="Times New Roman"/>
          <w:szCs w:val="28"/>
        </w:rPr>
        <w:t>ний: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а) </w:t>
      </w:r>
      <w:r>
        <w:rPr>
          <w:rFonts w:cs="Times New Roman"/>
          <w:szCs w:val="28"/>
        </w:rPr>
        <w:t xml:space="preserve"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</w:t>
      </w:r>
      <w:r>
        <w:rPr>
          <w:rFonts w:cs="Times New Roman"/>
          <w:szCs w:val="28"/>
        </w:rPr>
        <w:t>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б) </w:t>
      </w:r>
      <w:r>
        <w:rPr>
          <w:rFonts w:cs="Times New Roman"/>
          <w:szCs w:val="28"/>
        </w:rPr>
        <w:t>место использования открытого огня должно располагаться на расс</w:t>
      </w:r>
      <w:r>
        <w:rPr>
          <w:rFonts w:cs="Times New Roman"/>
          <w:szCs w:val="28"/>
        </w:rPr>
        <w:t>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</w:t>
      </w:r>
      <w:r>
        <w:rPr>
          <w:rFonts w:cs="Times New Roman"/>
          <w:szCs w:val="28"/>
        </w:rPr>
        <w:t>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</w:t>
      </w:r>
      <w:r>
        <w:rPr>
          <w:rFonts w:cs="Times New Roman"/>
          <w:szCs w:val="28"/>
        </w:rPr>
        <w:t>го огня должно располагаться на расстоянии не менее 15 метров до зданий, сооружений и иных построек;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в) </w:t>
      </w:r>
      <w:r>
        <w:rPr>
          <w:rFonts w:cs="Times New Roman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</w:t>
      </w:r>
      <w:r>
        <w:rPr>
          <w:rFonts w:cs="Times New Roman"/>
          <w:szCs w:val="28"/>
        </w:rPr>
        <w:t xml:space="preserve"> остатков, других горючих материалов и отделена противопожарной минерализованной полосой шириной не менее 0,4 метра;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г) </w:t>
      </w:r>
      <w:r>
        <w:rPr>
          <w:rFonts w:cs="Times New Roman"/>
          <w:szCs w:val="28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</w:t>
      </w:r>
      <w:r>
        <w:rPr>
          <w:rFonts w:cs="Times New Roman"/>
          <w:szCs w:val="28"/>
        </w:rPr>
        <w:t>кже мобильным средством связи для вызова подразделения пожарной охраны.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3. </w:t>
      </w:r>
      <w:r>
        <w:rPr>
          <w:rFonts w:cs="Times New Roman"/>
          <w:szCs w:val="28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</w:t>
      </w:r>
      <w:r>
        <w:rPr>
          <w:rFonts w:cs="Times New Roman"/>
          <w:szCs w:val="28"/>
        </w:rPr>
        <w:t>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</w:t>
      </w:r>
      <w:r>
        <w:rPr>
          <w:rFonts w:cs="Times New Roman"/>
          <w:szCs w:val="28"/>
        </w:rPr>
        <w:t>лизованной полосы не требуется;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4.</w:t>
      </w:r>
      <w:r>
        <w:rPr>
          <w:rFonts w:cs="Times New Roman"/>
          <w:szCs w:val="28"/>
        </w:rPr>
        <w:t> 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5</w:t>
      </w:r>
      <w:r>
        <w:rPr>
          <w:rFonts w:cs="Times New Roman"/>
          <w:b/>
          <w:bCs/>
          <w:szCs w:val="28"/>
        </w:rPr>
        <w:t>. </w:t>
      </w:r>
      <w:r>
        <w:rPr>
          <w:rFonts w:cs="Times New Roman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</w:t>
      </w:r>
      <w:r>
        <w:rPr>
          <w:rFonts w:cs="Times New Roman"/>
          <w:szCs w:val="28"/>
        </w:rPr>
        <w:t>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lastRenderedPageBreak/>
        <w:t>6.</w:t>
      </w:r>
      <w:r>
        <w:rPr>
          <w:rFonts w:cs="Times New Roman"/>
          <w:szCs w:val="28"/>
        </w:rPr>
        <w:t xml:space="preserve"> В случаях выполнения работ по уничтожению сухой травянистой растительности, стерни, </w:t>
      </w:r>
      <w:r>
        <w:rPr>
          <w:rFonts w:cs="Times New Roman"/>
          <w:szCs w:val="28"/>
        </w:rPr>
        <w:t>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</w:t>
      </w:r>
      <w:r>
        <w:rPr>
          <w:rFonts w:cs="Times New Roman"/>
          <w:szCs w:val="28"/>
        </w:rPr>
        <w:t>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7.</w:t>
      </w:r>
      <w:r>
        <w:rPr>
          <w:rFonts w:cs="Times New Roman"/>
          <w:szCs w:val="28"/>
        </w:rPr>
        <w:t xml:space="preserve"> При увеличении диаметра </w:t>
      </w:r>
      <w:r>
        <w:rPr>
          <w:rFonts w:cs="Times New Roman"/>
          <w:szCs w:val="28"/>
        </w:rPr>
        <w:t>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</w:t>
      </w:r>
      <w:r>
        <w:rPr>
          <w:rFonts w:cs="Times New Roman"/>
          <w:szCs w:val="28"/>
        </w:rPr>
        <w:t>зопасности;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8. </w:t>
      </w:r>
      <w:r>
        <w:rPr>
          <w:rFonts w:cs="Times New Roman"/>
          <w:szCs w:val="28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9. Использование открытого огня запрещается: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на торфяных почв</w:t>
      </w:r>
      <w:r>
        <w:rPr>
          <w:rFonts w:cs="Times New Roman"/>
          <w:szCs w:val="28"/>
        </w:rPr>
        <w:t>ах;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установлении на соответствующей территории особого противопожарного режима;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кронами деревьев хвойных пород;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 xml:space="preserve">при </w:t>
      </w:r>
      <w:r>
        <w:rPr>
          <w:rFonts w:cs="Times New Roman"/>
          <w:szCs w:val="28"/>
        </w:rPr>
        <w:t>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</w:t>
      </w:r>
      <w:r>
        <w:rPr>
          <w:rFonts w:cs="Times New Roman"/>
          <w:szCs w:val="28"/>
        </w:rPr>
        <w:t xml:space="preserve"> горения;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скорости ветра, превышающей значение 10 метров в секунду.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10.</w:t>
      </w:r>
      <w:r>
        <w:rPr>
          <w:rFonts w:cs="Times New Roman"/>
          <w:szCs w:val="28"/>
        </w:rPr>
        <w:t> В процессе использования открытого огня запрещается: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</w:t>
      </w:r>
      <w:r>
        <w:rPr>
          <w:rFonts w:cs="Times New Roman"/>
          <w:szCs w:val="28"/>
        </w:rPr>
        <w:t>ств и материалов, а также изделий и иных материалов, выделяющих при горении токсичные и высокотоксичные вещества;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оставлять место очага горения без присмотра до полного прекращения горения (тления);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располагать легковоспламеняющиеся и горючие жидкости, а т</w:t>
      </w:r>
      <w:r>
        <w:rPr>
          <w:rFonts w:cs="Times New Roman"/>
          <w:szCs w:val="28"/>
        </w:rPr>
        <w:t>акже горючие материалы вблизи очага горения.</w:t>
      </w:r>
    </w:p>
    <w:p w:rsidR="000E4BF1" w:rsidRDefault="00911A2D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11.</w:t>
      </w:r>
      <w:r>
        <w:rPr>
          <w:rFonts w:cs="Times New Roman"/>
          <w:szCs w:val="28"/>
        </w:rPr>
        <w:t> 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E4BF1" w:rsidRDefault="000E4BF1">
      <w:pPr>
        <w:pStyle w:val="af0"/>
        <w:spacing w:after="0"/>
        <w:ind w:left="0" w:firstLine="567"/>
        <w:jc w:val="both"/>
        <w:rPr>
          <w:sz w:val="24"/>
          <w:szCs w:val="24"/>
        </w:rPr>
      </w:pPr>
    </w:p>
    <w:p w:rsidR="000E4BF1" w:rsidRDefault="000E4BF1">
      <w:pPr>
        <w:spacing w:line="216" w:lineRule="auto"/>
        <w:jc w:val="both"/>
        <w:rPr>
          <w:sz w:val="24"/>
          <w:szCs w:val="24"/>
        </w:rPr>
      </w:pPr>
    </w:p>
    <w:sectPr w:rsidR="000E4BF1">
      <w:pgSz w:w="11906" w:h="16838"/>
      <w:pgMar w:top="510" w:right="567" w:bottom="397" w:left="119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1"/>
    <w:rsid w:val="000E4BF1"/>
    <w:rsid w:val="009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EAB7-5074-41BA-A653-6BC59DD6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0">
    <w:name w:val="Заголовок 3 Знак"/>
    <w:basedOn w:val="a0"/>
    <w:link w:val="3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table" w:styleId="af1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Теляга Елена Викторовна</cp:lastModifiedBy>
  <cp:revision>2</cp:revision>
  <cp:lastPrinted>2024-06-03T14:07:00Z</cp:lastPrinted>
  <dcterms:created xsi:type="dcterms:W3CDTF">2024-07-08T07:01:00Z</dcterms:created>
  <dcterms:modified xsi:type="dcterms:W3CDTF">2024-07-08T07:01:00Z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