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 w:right="-2"/>
        <w:widowControl w:val="off"/>
      </w:pPr>
      <w:r>
        <w:t xml:space="preserve">Приложение к решению </w:t>
      </w:r>
      <w:r/>
    </w:p>
    <w:p>
      <w:pPr>
        <w:ind w:left="6237" w:right="-2"/>
        <w:widowControl w:val="off"/>
      </w:pPr>
      <w:r>
        <w:t xml:space="preserve">Думы Сургутского района</w:t>
      </w:r>
      <w:r/>
    </w:p>
    <w:p>
      <w:pPr>
        <w:ind w:left="6237"/>
        <w:rPr>
          <w:b/>
          <w:sz w:val="28"/>
          <w:szCs w:val="28"/>
        </w:rPr>
      </w:pPr>
      <w:r>
        <w:t xml:space="preserve">от </w:t>
      </w:r>
      <w:r>
        <w:t xml:space="preserve">«  »</w:t>
      </w:r>
      <w:r>
        <w:t xml:space="preserve">______</w:t>
      </w:r>
      <w:r>
        <w:t xml:space="preserve">202</w:t>
      </w:r>
      <w:r>
        <w:t xml:space="preserve">5</w:t>
      </w:r>
      <w:r>
        <w:t xml:space="preserve"> года №</w:t>
      </w:r>
      <w:r>
        <w:t xml:space="preserve">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Прогнозный </w:t>
      </w:r>
      <w:r>
        <w:rPr>
          <w:rFonts w:eastAsiaTheme="minorHAnsi"/>
          <w:bCs/>
          <w:sz w:val="28"/>
          <w:szCs w:val="28"/>
          <w:lang w:eastAsia="en-US"/>
        </w:rPr>
        <w:t xml:space="preserve">план</w:t>
      </w:r>
      <w:r>
        <w:rPr>
          <w:rFonts w:eastAsiaTheme="minorHAnsi"/>
          <w:bCs/>
          <w:sz w:val="28"/>
          <w:szCs w:val="28"/>
          <w:lang w:eastAsia="en-US"/>
        </w:rPr>
        <w:t xml:space="preserve"> (программа)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приватизации </w:t>
      </w:r>
      <w:r>
        <w:rPr>
          <w:rFonts w:eastAsiaTheme="minorHAnsi"/>
          <w:bCs/>
          <w:sz w:val="28"/>
          <w:szCs w:val="28"/>
          <w:lang w:eastAsia="en-US"/>
        </w:rPr>
        <w:t xml:space="preserve">имущества </w:t>
      </w:r>
      <w:r>
        <w:rPr>
          <w:bCs/>
          <w:sz w:val="28"/>
          <w:szCs w:val="28"/>
        </w:rPr>
        <w:t xml:space="preserve">Сургутског</w:t>
      </w:r>
      <w:r>
        <w:rPr>
          <w:bCs/>
          <w:sz w:val="28"/>
          <w:szCs w:val="28"/>
        </w:rPr>
        <w:t xml:space="preserve">о муниципального района Ханты-</w:t>
      </w:r>
      <w:r>
        <w:rPr>
          <w:bCs/>
          <w:sz w:val="28"/>
          <w:szCs w:val="28"/>
        </w:rPr>
        <w:t xml:space="preserve">Мансийского автономного округа – Югры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на 202</w:t>
      </w:r>
      <w:r>
        <w:rPr>
          <w:rFonts w:eastAsiaTheme="minorHAnsi"/>
          <w:bCs/>
          <w:sz w:val="28"/>
          <w:szCs w:val="28"/>
          <w:lang w:eastAsia="en-US"/>
        </w:rPr>
        <w:t xml:space="preserve">6</w:t>
      </w:r>
      <w:r>
        <w:rPr>
          <w:rFonts w:eastAsiaTheme="minorHAnsi"/>
          <w:bCs/>
          <w:sz w:val="28"/>
          <w:szCs w:val="28"/>
          <w:lang w:eastAsia="en-US"/>
        </w:rPr>
        <w:t xml:space="preserve"> год и плановый период 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202</w:t>
      </w:r>
      <w:r>
        <w:rPr>
          <w:rFonts w:eastAsiaTheme="minorHAnsi"/>
          <w:bCs/>
          <w:sz w:val="28"/>
          <w:szCs w:val="28"/>
          <w:lang w:eastAsia="en-US"/>
        </w:rPr>
        <w:t xml:space="preserve">7</w:t>
      </w:r>
      <w:r>
        <w:rPr>
          <w:rFonts w:eastAsiaTheme="minorHAnsi"/>
          <w:bCs/>
          <w:sz w:val="28"/>
          <w:szCs w:val="28"/>
          <w:lang w:eastAsia="en-US"/>
        </w:rPr>
        <w:t xml:space="preserve"> – 202</w:t>
      </w:r>
      <w:r>
        <w:rPr>
          <w:rFonts w:eastAsiaTheme="minorHAnsi"/>
          <w:bCs/>
          <w:sz w:val="28"/>
          <w:szCs w:val="28"/>
          <w:lang w:eastAsia="en-US"/>
        </w:rPr>
        <w:t xml:space="preserve">8</w:t>
      </w:r>
      <w:r>
        <w:rPr>
          <w:rFonts w:eastAsiaTheme="minorHAnsi"/>
          <w:bCs/>
          <w:sz w:val="28"/>
          <w:szCs w:val="28"/>
          <w:lang w:eastAsia="en-US"/>
        </w:rPr>
        <w:t xml:space="preserve"> годов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Перечень недвижимого имущества, планируемого к приватизации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66"/>
        <w:tblW w:w="9354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976"/>
        <w:gridCol w:w="1417"/>
        <w:gridCol w:w="184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имущества,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Предполагаемые сроки приватизации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7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tbl>
      <w:tblPr>
        <w:tblStyle w:val="87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22"/>
        <w:gridCol w:w="2977"/>
        <w:gridCol w:w="1417"/>
        <w:gridCol w:w="1876"/>
      </w:tblGrid>
      <w:tr>
        <w:tblPrEx/>
        <w:trPr>
          <w:trHeight w:val="992"/>
        </w:trPr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1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.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Спортивный комплекс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Ханты - Мансийский автономный округ – Югра, г. Сургут, ул.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Быстринская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18/4,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кадастровый номер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86:10:0000000:7064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расположенный на земельном участке с кадастровым номером:</w:t>
            </w:r>
            <w: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86:10:0101210:1053, площадью 9029 м2, категория земель: земли населенных пунктов, виды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разрешенного использования: спорт.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Нежилое здание, 4 этажа, в том числе подземных 1,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год ввода в эксплуатац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ию - 1997, стены, перегородки - кирпичные, перекрытия - железобетонные плиты, металлопластиковые стеклопакеты, фундамент - железобетонные сваи, крыша - металлическая, центральное отопление, холодное и горячее водоснабжение, водоотведение, электроснабжение.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6135,5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м2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полугодие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</w:p>
        </w:tc>
      </w:tr>
    </w:tbl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1065"/>
        <w:widowControl w:val="off"/>
        <w:outlineLvl w:val="1"/>
      </w:pPr>
      <w:r>
        <w:t xml:space="preserve">   </w:t>
      </w:r>
      <w:r>
        <w:t xml:space="preserve">         </w:t>
      </w:r>
      <w:r/>
    </w:p>
    <w:p>
      <w:pPr>
        <w:contextualSpacing/>
        <w:ind w:left="1065"/>
        <w:widowControl w:val="off"/>
        <w:outlineLvl w:val="1"/>
      </w:pPr>
      <w:r/>
      <w:r/>
    </w:p>
    <w:p>
      <w:pPr>
        <w:ind w:firstLine="709"/>
        <w:jc w:val="both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Статья 1.1. </w:t>
      </w:r>
      <w:r>
        <w:rPr>
          <w:sz w:val="28"/>
          <w:szCs w:val="28"/>
        </w:rPr>
        <w:t xml:space="preserve">Перечень движимого имущества (</w:t>
      </w:r>
      <w:r>
        <w:rPr>
          <w:sz w:val="28"/>
          <w:szCs w:val="28"/>
        </w:rPr>
        <w:t xml:space="preserve">транспортные средства</w:t>
      </w:r>
      <w:r>
        <w:rPr>
          <w:sz w:val="28"/>
          <w:szCs w:val="28"/>
        </w:rPr>
        <w:t xml:space="preserve">), планируемого к приватизации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</w:t>
      </w:r>
      <w:r>
        <w:rPr>
          <w:sz w:val="28"/>
          <w:szCs w:val="28"/>
        </w:rPr>
        <w:t xml:space="preserve">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bCs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tbl>
      <w:tblPr>
        <w:tblW w:w="93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704"/>
        <w:gridCol w:w="5614"/>
        <w:gridCol w:w="1417"/>
      </w:tblGrid>
      <w:tr>
        <w:tblPrEx/>
        <w:trPr>
          <w:trHeight w:val="756"/>
        </w:trPr>
        <w:tc>
          <w:tcPr>
            <w:tcW w:w="614" w:type="dxa"/>
            <w:vAlign w:val="center"/>
            <w:textDirection w:val="lrTb"/>
            <w:noWrap w:val="false"/>
          </w:tcPr>
          <w:p>
            <w:pPr>
              <w:ind w:left="-116" w:firstLine="26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Марка, модель ТС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Краткая характеристика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Предполагаемые сроки приватизации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ind w:left="-88" w:firstLine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ГАЗ-32213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4" w:type="dxa"/>
            <w:vAlign w:val="center"/>
            <w:textDirection w:val="lrTb"/>
            <w:noWrap w:val="false"/>
          </w:tcPr>
          <w:p>
            <w:pPr>
              <w:ind w:left="143" w:right="138"/>
              <w:jc w:val="both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идентификационный номер (VIN): </w:t>
            </w:r>
            <w:r>
              <w:rPr>
                <w:color w:val="000000" w:themeColor="text1"/>
                <w:sz w:val="22"/>
                <w:szCs w:val="22"/>
              </w:rPr>
              <w:t xml:space="preserve">Х96322130С0723563</w:t>
            </w:r>
            <w:r>
              <w:rPr>
                <w:sz w:val="22"/>
                <w:szCs w:val="22"/>
              </w:rPr>
              <w:t xml:space="preserve"> наименование (тип ТС)</w:t>
            </w:r>
            <w:r>
              <w:rPr>
                <w:sz w:val="22"/>
                <w:szCs w:val="22"/>
              </w:rPr>
              <w:t xml:space="preserve"> – с</w:t>
            </w:r>
            <w:r>
              <w:rPr>
                <w:sz w:val="22"/>
                <w:szCs w:val="22"/>
              </w:rPr>
              <w:t xml:space="preserve">пециализированный пассажирский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(ТС) – </w:t>
            </w:r>
            <w:r>
              <w:rPr>
                <w:sz w:val="22"/>
                <w:szCs w:val="22"/>
                <w:lang w:val="en-US"/>
              </w:rPr>
              <w:t xml:space="preserve">D</w:t>
            </w:r>
            <w:r>
              <w:rPr>
                <w:sz w:val="22"/>
                <w:szCs w:val="22"/>
              </w:rPr>
              <w:t xml:space="preserve">/М2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изготовления ТС- 2012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модель, № двигателя – 421600 С0400904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шасси (рама)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отсутствует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кузов (кабина, прицеп) </w:t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322100С0500105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кузова (кабины, прицепа) – белый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двигателя, л.с. (кВт) – 106,8 (78,6)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рабочий объём двигателя, куб. см – 2890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двигателя – бензиновый на бензине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класс – третий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разрешенная максимальная масса, кг – 3315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без нагрузки, кг – 2280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 w:right="13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ПТС 61 УК 606884 от 25.01.2022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полугодие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ind w:left="-88" w:firstLine="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</w:t>
            </w:r>
            <w:r>
              <w:rPr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color w:val="000000" w:themeColor="text1"/>
                <w:sz w:val="22"/>
                <w:szCs w:val="22"/>
              </w:rPr>
              <w:t xml:space="preserve"> 211440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SAMARA</w:t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4" w:type="dxa"/>
            <w:textDirection w:val="lrTb"/>
            <w:noWrap w:val="false"/>
          </w:tcPr>
          <w:p>
            <w:pPr>
              <w:ind w:left="143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идентификационный номер (VIN): </w:t>
            </w:r>
            <w:r>
              <w:rPr>
                <w:color w:val="000000" w:themeColor="text1"/>
                <w:sz w:val="22"/>
                <w:szCs w:val="22"/>
              </w:rPr>
              <w:t xml:space="preserve">ХТА211440С5080932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left="143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(тип ТС)</w:t>
            </w:r>
            <w:r>
              <w:rPr>
                <w:sz w:val="22"/>
                <w:szCs w:val="22"/>
              </w:rPr>
              <w:t xml:space="preserve"> – легковой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(ТС) –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изготовления ТС</w:t>
            </w:r>
            <w:r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2011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модель, № двигателя – 11183, 5630706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шасси (рама)</w:t>
            </w: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 xml:space="preserve">отсутствует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кузов (кабина, прицеп) </w:t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ХТА211440С5080932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кузова (кабины, прицепа) – светло-серебристый металл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двигателя, л.с. (кВт) – 80,9 (59,5)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рабочий объём двигателя, куб. см – 1596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двигателя – бензиновый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экологический класс – третий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разрешенная максимальная масса, кг – 1410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без нагрузки, кг – 1060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3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ПТС 63 НК 963430 от 29.11.2011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left="1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Автошина 175/70R13 Кама-505 шип б/к НкШЗ – 4 штуки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Шина пневматическая для легкового автомобиля 175/70R13 б/к Страна происхождения: Россия – 4 штуки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полугодие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bCs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contextualSpacing/>
        <w:ind w:left="1065"/>
        <w:widowControl w:val="off"/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  <w:outlineLvl w:val="1"/>
      </w:pPr>
      <w:r/>
      <w:r/>
    </w:p>
    <w:p>
      <w:pPr>
        <w:ind w:firstLine="709"/>
        <w:jc w:val="both"/>
        <w:rPr>
          <w:b/>
          <w:sz w:val="28"/>
          <w:szCs w:val="28"/>
        </w:rPr>
        <w:outlineLvl w:val="1"/>
      </w:pPr>
      <w:r>
        <w:rPr>
          <w:sz w:val="28"/>
          <w:szCs w:val="28"/>
        </w:rPr>
        <w:t xml:space="preserve">Статья 2. </w:t>
      </w:r>
      <w:r>
        <w:rPr>
          <w:b/>
          <w:sz w:val="28"/>
          <w:szCs w:val="28"/>
        </w:rPr>
        <w:t xml:space="preserve">Пакеты акций акционерных обществ, принадлежащие </w:t>
      </w:r>
      <w:r>
        <w:rPr>
          <w:b/>
          <w:sz w:val="28"/>
          <w:szCs w:val="28"/>
        </w:rPr>
        <w:t xml:space="preserve">Сургутскому</w:t>
      </w:r>
      <w:r>
        <w:rPr>
          <w:b/>
          <w:sz w:val="28"/>
          <w:szCs w:val="28"/>
        </w:rPr>
        <w:t xml:space="preserve"> муниципальному району Ханты-Мансийского автономного округа - Югры, и планируемые к приватизации на 2026 год и плановый период</w:t>
      </w: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2027 – 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61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2410"/>
        <w:gridCol w:w="3827"/>
        <w:gridCol w:w="1843"/>
        <w:gridCol w:w="3686"/>
        <w:gridCol w:w="1843"/>
      </w:tblGrid>
      <w:tr>
        <w:tblPrEx/>
        <w:trPr>
          <w:cantSplit/>
          <w:jc w:val="center"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 акционерного общества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Количество, категория (тип) акций акционерного общества, принадлежащих  </w:t>
            </w:r>
            <w:r>
              <w:rPr>
                <w:bCs/>
                <w:sz w:val="22"/>
                <w:szCs w:val="22"/>
              </w:rPr>
              <w:t xml:space="preserve">Сургутскому</w:t>
            </w:r>
            <w:r>
              <w:rPr>
                <w:bCs/>
                <w:sz w:val="22"/>
                <w:szCs w:val="22"/>
              </w:rPr>
              <w:t xml:space="preserve"> муниципальному району Ханты-Мансийского автономного округа -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количество обыкновенных акций акционерного общества  (штук)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принадлежащих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акций </w:t>
            </w:r>
            <w:r>
              <w:rPr>
                <w:bCs/>
                <w:sz w:val="22"/>
                <w:szCs w:val="22"/>
              </w:rPr>
              <w:t xml:space="preserve">Сургутскому</w:t>
            </w:r>
            <w:r>
              <w:rPr>
                <w:bCs/>
                <w:sz w:val="22"/>
                <w:szCs w:val="22"/>
              </w:rPr>
              <w:t xml:space="preserve"> муниципальному району Ханты-Мансийского автономного округа - Югры</w:t>
            </w:r>
            <w:r>
              <w:rPr>
                <w:color w:val="000000"/>
                <w:sz w:val="22"/>
                <w:szCs w:val="22"/>
              </w:rPr>
              <w:t xml:space="preserve"> в общем количестве обыкновенных акций акционерного общества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Предполагаемые сроки приватизации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54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6" w:type="dxa"/>
            <w:vAlign w:val="center"/>
            <w:textDirection w:val="lrTb"/>
            <w:noWrap w:val="false"/>
          </w:tcPr>
          <w:p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«Газпром»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197229, г. Санкт-Петербург, муниципальный округ </w:t>
            </w:r>
            <w:r>
              <w:rPr>
                <w:sz w:val="22"/>
                <w:szCs w:val="22"/>
              </w:rPr>
              <w:t xml:space="preserve">Лахта</w:t>
            </w:r>
            <w:r>
              <w:rPr>
                <w:sz w:val="22"/>
                <w:szCs w:val="22"/>
              </w:rPr>
              <w:t xml:space="preserve">-Ольгино </w:t>
            </w:r>
            <w:r>
              <w:rPr>
                <w:sz w:val="22"/>
                <w:szCs w:val="22"/>
              </w:rPr>
              <w:t xml:space="preserve">вн</w:t>
            </w:r>
            <w:r>
              <w:rPr>
                <w:sz w:val="22"/>
                <w:szCs w:val="22"/>
              </w:rPr>
              <w:t xml:space="preserve">. тер. г., </w:t>
            </w:r>
            <w:r>
              <w:rPr>
                <w:sz w:val="22"/>
                <w:szCs w:val="22"/>
              </w:rPr>
              <w:t xml:space="preserve">Лахтинский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, д. 2, к. 3, стр.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1 294 000 обыкновенных именных акций номинальной стоимостью 5,0 рублей каждая. Номинальная стоимость пакета Сургутского района 6 470 000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23 673 512 900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0,005466024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-2028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181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«Сургутнефтегаз»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628415, Ханты-Мансийский автономный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округ - Югра, г. Сургут, ул. Григория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Кукуевицкого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д. 1, к.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5 500 000 обыкновенных именных акций номинальной стоимостью 1,0 рубль каждая. Номинальная стоимость пакета Сургутского района 5 500 000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35 725 994 705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0,015394952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-2028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contextualSpacing/>
        <w:ind w:left="1065"/>
        <w:widowControl w:val="off"/>
        <w:outlineLvl w:val="1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«Статья 2.1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 формы участия в капитале, находящемся в собственности Сургутского муниципального района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Югры, и планируемом к приватизации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tbl>
      <w:tblPr>
        <w:tblStyle w:val="874"/>
        <w:tblpPr w:horzAnchor="margin" w:tblpX="-429" w:vertAnchor="text" w:tblpY="137" w:leftFromText="180" w:topFromText="0" w:rightFromText="180" w:bottomFromText="0"/>
        <w:tblW w:w="99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1"/>
        <w:gridCol w:w="3827"/>
        <w:gridCol w:w="2268"/>
      </w:tblGrid>
      <w:tr>
        <w:tblPrEx/>
        <w:trPr>
          <w:trHeight w:val="279"/>
        </w:trPr>
        <w:tc>
          <w:tcPr>
            <w:tcW w:w="564" w:type="dxa"/>
            <w:textDirection w:val="lrTb"/>
            <w:noWrap w:val="false"/>
          </w:tcPr>
          <w:p>
            <w:pPr>
              <w:pStyle w:val="875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5"/>
              <w:ind w:left="111" w:right="1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п/п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875"/>
              <w:ind w:left="488" w:right="485" w:hanging="66"/>
              <w:jc w:val="center"/>
              <w:rPr>
                <w:spacing w:val="1"/>
                <w:lang w:val="ru-RU"/>
              </w:rPr>
            </w:pPr>
            <w:r>
              <w:rPr>
                <w:lang w:val="ru-RU"/>
              </w:rPr>
              <w:t xml:space="preserve">Наименование</w:t>
            </w:r>
            <w:r>
              <w:rPr>
                <w:spacing w:val="1"/>
                <w:lang w:val="ru-RU"/>
              </w:rPr>
              <w:t xml:space="preserve"> и </w:t>
            </w:r>
            <w:r>
              <w:rPr>
                <w:spacing w:val="1"/>
                <w:lang w:val="ru-RU"/>
              </w:rPr>
            </w:r>
            <w:r>
              <w:rPr>
                <w:spacing w:val="1"/>
                <w:lang w:val="ru-RU"/>
              </w:rPr>
            </w:r>
          </w:p>
          <w:p>
            <w:pPr>
              <w:pStyle w:val="875"/>
              <w:ind w:left="488" w:right="485" w:hanging="66"/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 xml:space="preserve">ме</w:t>
            </w:r>
            <w:r>
              <w:rPr>
                <w:lang w:val="ru-RU"/>
              </w:rPr>
              <w:t xml:space="preserve">стонахождение</w:t>
            </w:r>
            <w:r>
              <w:rPr>
                <w:spacing w:val="1"/>
                <w:lang w:val="ru-RU"/>
              </w:rPr>
            </w:r>
            <w:r>
              <w:rPr>
                <w:spacing w:val="1"/>
                <w:lang w:val="ru-RU"/>
              </w:rPr>
            </w:r>
          </w:p>
          <w:p>
            <w:pPr>
              <w:pStyle w:val="875"/>
              <w:ind w:left="123" w:right="118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общества с ограниченной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5"/>
              <w:ind w:left="123" w:right="118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ответственностью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Доля в уставном капитале общества с ограниченной ответственностью, принадлежащая </w:t>
            </w:r>
            <w:r>
              <w:rPr>
                <w:sz w:val="22"/>
                <w:szCs w:val="22"/>
                <w:lang w:val="ru-RU"/>
              </w:rPr>
              <w:t xml:space="preserve">Сургутскому</w:t>
            </w:r>
            <w:r>
              <w:rPr>
                <w:sz w:val="22"/>
                <w:szCs w:val="22"/>
                <w:lang w:val="ru-RU"/>
              </w:rPr>
              <w:t xml:space="preserve"> муниципальному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району Ханты-Мансийского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автономного округа – Югры и подлежащая приватизации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75"/>
              <w:ind w:left="121" w:right="114" w:firstLine="27"/>
              <w:jc w:val="center"/>
              <w:rPr>
                <w:lang w:val="ru-RU"/>
              </w:rPr>
            </w:pPr>
            <w:r>
              <w:t xml:space="preserve">Предполагаемые</w:t>
            </w:r>
            <w:r>
              <w:t xml:space="preserve"> </w:t>
            </w:r>
            <w:r>
              <w:t xml:space="preserve">сроки</w:t>
            </w:r>
            <w: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5"/>
              <w:ind w:left="121" w:right="114" w:firstLine="27"/>
              <w:jc w:val="center"/>
              <w:rPr>
                <w:lang w:val="ru-RU"/>
              </w:rPr>
            </w:pPr>
            <w:r>
              <w:t xml:space="preserve">приватизации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125"/>
        </w:trPr>
        <w:tc>
          <w:tcPr>
            <w:tcW w:w="564" w:type="dxa"/>
            <w:textDirection w:val="lrTb"/>
            <w:noWrap w:val="false"/>
          </w:tcPr>
          <w:p>
            <w:pPr>
              <w:pStyle w:val="875"/>
              <w:ind w:left="197"/>
              <w:spacing w:before="42"/>
            </w:pPr>
            <w:r>
              <w:t xml:space="preserve">1.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Общество с ограниченной ответственностью «ВОСХОД»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628436, Ханты – Мансийский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87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автономный округ – Югра,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Сургутский район,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с.п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Сытомино</w:t>
            </w:r>
            <w:r>
              <w:rPr>
                <w:lang w:val="ru-RU"/>
              </w:rPr>
              <w:t xml:space="preserve">, с. </w:t>
            </w:r>
            <w:r>
              <w:rPr>
                <w:lang w:val="ru-RU"/>
              </w:rPr>
              <w:t xml:space="preserve">Сытомино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           </w:t>
            </w:r>
            <w:r>
              <w:rPr>
                <w:lang w:val="ru-RU"/>
              </w:rPr>
              <w:t xml:space="preserve">ул. Заводская, д. 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5"/>
              <w:ind w:left="542"/>
              <w:jc w:val="center"/>
              <w:spacing w:before="42"/>
              <w:rPr>
                <w:lang w:val="ru-RU"/>
              </w:rPr>
            </w:pPr>
            <w:r>
              <w:rPr>
                <w:lang w:val="ru-RU"/>
              </w:rPr>
              <w:t xml:space="preserve">100 %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75"/>
              <w:ind w:left="137"/>
              <w:spacing w:before="42" w:line="251" w:lineRule="exact"/>
              <w:rPr>
                <w:lang w:val="ru-RU"/>
              </w:rPr>
            </w:pPr>
            <w:r>
              <w:rPr>
                <w:lang w:val="ru-RU"/>
              </w:rPr>
              <w:t xml:space="preserve">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– 202</w:t>
            </w:r>
            <w:r>
              <w:rPr>
                <w:lang w:val="ru-RU"/>
              </w:rPr>
              <w:t xml:space="preserve">8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8"/>
          <w:szCs w:val="28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объемов поступлений в бюджет Сургутского муниципального района Ханты-Мансийского автономного округа – Югры на 2026 год и плановый период 2027 – 2028 годов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tbl>
      <w:tblPr>
        <w:tblStyle w:val="874"/>
        <w:tblW w:w="153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2552"/>
        <w:gridCol w:w="2264"/>
        <w:gridCol w:w="2694"/>
        <w:gridCol w:w="2121"/>
        <w:gridCol w:w="3402"/>
      </w:tblGrid>
      <w:tr>
        <w:tblPrEx/>
        <w:trPr>
          <w:jc w:val="center"/>
          <w:trHeight w:val="1191" w:hRule="exact"/>
        </w:trPr>
        <w:tc>
          <w:tcPr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Период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75"/>
              <w:ind w:left="122" w:right="92" w:hanging="2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Код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главного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30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администра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тора </w:t>
            </w:r>
            <w:r>
              <w:rPr>
                <w:spacing w:val="-2"/>
                <w:sz w:val="20"/>
                <w:szCs w:val="20"/>
                <w:lang w:val="ru-RU"/>
              </w:rPr>
            </w:r>
            <w:r>
              <w:rPr>
                <w:spacing w:val="-2"/>
                <w:sz w:val="20"/>
                <w:szCs w:val="20"/>
                <w:lang w:val="ru-RU"/>
              </w:rPr>
            </w:r>
          </w:p>
          <w:p>
            <w:pPr>
              <w:pStyle w:val="875"/>
              <w:ind w:lef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доходов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75"/>
              <w:ind w:left="96" w:right="94"/>
              <w:jc w:val="center"/>
              <w:spacing w:before="4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Наименование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главного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администратора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доходов</w: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</w:p>
          <w:p>
            <w:pPr>
              <w:pStyle w:val="875"/>
              <w:ind w:right="94"/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4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</w:rPr>
            </w:pPr>
            <w:r/>
            <w:hyperlink r:id="rId12" w:tooltip="https://mobileonline.garant.ru/document/redirect/404917355/1000" w:history="1">
              <w:r>
                <w:rPr>
                  <w:spacing w:val="-5"/>
                  <w:sz w:val="20"/>
                  <w:szCs w:val="20"/>
                </w:rPr>
                <w:t xml:space="preserve">КБК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75"/>
              <w:ind w:left="919" w:right="81" w:hanging="569"/>
              <w:spacing w:before="4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Наименование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КБК </w:t>
            </w:r>
            <w:r>
              <w:rPr>
                <w:spacing w:val="-2"/>
                <w:sz w:val="20"/>
                <w:szCs w:val="20"/>
              </w:rPr>
              <w:t xml:space="preserve">доходов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pStyle w:val="875"/>
              <w:ind w:left="408" w:right="405" w:firstLine="295"/>
              <w:spacing w:before="44" w:line="295" w:lineRule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Объем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поступлений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75"/>
              <w:ind w:left="522"/>
              <w:spacing w:before="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показателей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61" w:hRule="exact"/>
        </w:trPr>
        <w:tc>
          <w:tcPr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6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pStyle w:val="875"/>
              <w:ind w:left="30" w:right="30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070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епартамент управления муниципальным </w:t>
            </w:r>
            <w:r>
              <w:rPr>
                <w:sz w:val="20"/>
                <w:szCs w:val="20"/>
                <w:lang w:val="ru-RU"/>
              </w:rPr>
              <w:t xml:space="preserve">имуществом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жилищной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политики администрации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Сургутского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района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4" w:type="dxa"/>
            <w:vMerge w:val="restart"/>
            <w:textDirection w:val="lrTb"/>
            <w:noWrap w:val="false"/>
          </w:tcPr>
          <w:p>
            <w:pPr>
              <w:pStyle w:val="875"/>
              <w:ind w:left="89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11101050050000120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875"/>
              <w:ind w:left="82" w:right="81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доходы</w:t>
            </w:r>
            <w:r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</w:t>
            </w:r>
            <w:r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виде</w:t>
            </w:r>
            <w:r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прибыли, приходящейся на доли</w:t>
            </w:r>
            <w:r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 уставных</w:t>
            </w:r>
            <w:r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(складочных)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капиталах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хозяйственных </w:t>
            </w:r>
            <w:r>
              <w:rPr>
                <w:sz w:val="20"/>
                <w:szCs w:val="20"/>
                <w:lang w:val="ru-RU"/>
              </w:rPr>
              <w:t xml:space="preserve">товариществ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и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обществ, или дивидендов по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акциям,</w:t>
            </w:r>
            <w:r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принадлежащим муниципальным районам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val="ru-RU"/>
              </w:rPr>
              <w:t xml:space="preserve">11 372 052 00 руб.</w:t>
            </w:r>
            <w:r>
              <w:rPr>
                <w:sz w:val="20"/>
                <w:szCs w:val="20"/>
                <w:lang w:val="ru-RU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75"/>
              <w:ind w:left="82" w:right="326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</w:t>
            </w:r>
            <w:r>
              <w:rPr>
                <w:sz w:val="20"/>
                <w:szCs w:val="20"/>
                <w:lang w:val="ru-RU"/>
              </w:rPr>
              <w:t xml:space="preserve">бъем доходов бюджета</w:t>
            </w:r>
            <w:r>
              <w:rPr>
                <w:sz w:val="20"/>
                <w:szCs w:val="20"/>
                <w:lang w:val="ru-RU"/>
              </w:rPr>
              <w:t xml:space="preserve"> Сургутского</w:t>
            </w:r>
            <w:r>
              <w:rPr>
                <w:sz w:val="20"/>
                <w:szCs w:val="20"/>
                <w:lang w:val="ru-RU"/>
              </w:rPr>
              <w:t xml:space="preserve"> района в виде прибыли, приходящейся на доли в уставных (складочных) капиталах хозяйственных товариществ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и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обществ,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или дивидендов по акциям,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принадлежащим </w:t>
            </w:r>
            <w:r>
              <w:rPr>
                <w:sz w:val="20"/>
                <w:szCs w:val="20"/>
                <w:lang w:val="ru-RU"/>
              </w:rPr>
              <w:t xml:space="preserve">муниципальному району, в очередном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финансовом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году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  <w:trHeight w:val="362" w:hRule="exact"/>
        </w:trPr>
        <w:tc>
          <w:tcPr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7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ind w:left="82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26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ind w:left="82" w:righ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val="ru-RU"/>
              </w:rPr>
              <w:t xml:space="preserve">11 372 052 00 руб.</w:t>
            </w:r>
            <w:r>
              <w:rPr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746"/>
        </w:trPr>
        <w:tc>
          <w:tcPr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8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ind w:left="82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26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ind w:left="82" w:righ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val="ru-RU"/>
              </w:rPr>
              <w:t xml:space="preserve">11 372 052 00 руб.</w:t>
            </w:r>
            <w:r>
              <w:rPr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6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pacing w:val="-4"/>
                <w:sz w:val="20"/>
                <w:szCs w:val="20"/>
                <w:lang w:val="ru-RU"/>
              </w:rPr>
            </w:r>
          </w:p>
          <w:tbl>
            <w:tblPr>
              <w:tblStyle w:val="866"/>
              <w:tblW w:w="0" w:type="auto"/>
              <w:tblLook w:val="04A0" w:firstRow="1" w:lastRow="0" w:firstColumn="1" w:lastColumn="0" w:noHBand="0" w:noVBand="1"/>
            </w:tblPr>
            <w:tblGrid>
              <w:gridCol w:w="983"/>
            </w:tblGrid>
            <w:tr>
              <w:tblPrEx/>
              <w:trPr/>
              <w:tc>
                <w:tcPr>
                  <w:tcW w:w="983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pacing w:val="-4"/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2027 год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trHeight w:val="187"/>
              </w:trPr>
              <w:tc>
                <w:tcPr>
                  <w:tcW w:w="983" w:type="dxa"/>
                  <w:textDirection w:val="lrTb"/>
                  <w:noWrap w:val="false"/>
                </w:tcPr>
                <w:p>
                  <w:pPr>
                    <w:pStyle w:val="8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2028 год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75"/>
              <w:ind w:left="30" w:right="30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070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епартамент управления муниципальным </w:t>
            </w:r>
            <w:r>
              <w:rPr>
                <w:sz w:val="20"/>
                <w:szCs w:val="20"/>
                <w:lang w:val="ru-RU"/>
              </w:rPr>
              <w:t xml:space="preserve">имуществом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жилищной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политики администрации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Сургутского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района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01060100050000630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ind w:left="82" w:right="81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средства от продажи акций и иных форм участия в капитале, находящихся в собственности муниципальных районов (в части  средств от иных форм участия в капитале)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tbl>
            <w:tblPr>
              <w:tblStyle w:val="866"/>
              <w:tblW w:w="0" w:type="auto"/>
              <w:tblLook w:val="04A0" w:firstRow="1" w:lastRow="0" w:firstColumn="1" w:lastColumn="0" w:noHBand="0" w:noVBand="1"/>
            </w:tblPr>
            <w:tblGrid>
              <w:gridCol w:w="2111"/>
            </w:tblGrid>
            <w:tr>
              <w:tblPrEx/>
              <w:trPr/>
              <w:tc>
                <w:tcPr>
                  <w:tcW w:w="2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61 780 000,00 руб.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17"/>
              </w:trPr>
              <w:tc>
                <w:tcPr>
                  <w:tcW w:w="2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2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75"/>
              <w:ind w:left="82" w:right="326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ориентировочная стоимость имущества, находящегося в собственности Сургутского района, определена в результате оценки рыночной стоимости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  <w:trHeight w:val="36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6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75"/>
              <w:ind w:left="30" w:right="30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070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департамент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управления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 w:right="13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муниципальным </w:t>
            </w:r>
            <w:r>
              <w:rPr>
                <w:sz w:val="20"/>
                <w:szCs w:val="20"/>
                <w:lang w:val="ru-RU"/>
              </w:rPr>
              <w:t xml:space="preserve">имуществом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жилищной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политики администрации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 w:right="13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Сургутского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4" w:type="dxa"/>
            <w:vMerge w:val="restart"/>
            <w:textDirection w:val="lrTb"/>
            <w:noWrap w:val="false"/>
          </w:tcPr>
          <w:p>
            <w:pPr>
              <w:pStyle w:val="875"/>
              <w:ind w:left="125" w:right="123" w:hanging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</w:t>
            </w:r>
            <w:r>
              <w:rPr>
                <w:sz w:val="20"/>
                <w:szCs w:val="20"/>
                <w:lang w:val="ru-RU"/>
              </w:rPr>
              <w:t xml:space="preserve"> соответствии с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общими </w:t>
            </w:r>
            <w:r>
              <w:rPr>
                <w:sz w:val="20"/>
                <w:szCs w:val="20"/>
                <w:lang w:val="ru-RU"/>
              </w:rPr>
              <w:t xml:space="preserve">требованиями к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методике прогнозирования </w:t>
            </w:r>
            <w:r>
              <w:rPr>
                <w:sz w:val="20"/>
                <w:szCs w:val="20"/>
                <w:lang w:val="ru-RU"/>
              </w:rPr>
              <w:t xml:space="preserve">поступлений по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источникам финансирования бюджета Сургутского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района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с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редства от продажи акций и иных форм участия в капитале, находящихся в собственности муниципальных районов </w:t>
            </w:r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(в части средств от продажи акций)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303 202 140,00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руб.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75"/>
              <w:ind w:left="82" w:right="132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стоимость портфеля акций ПАО </w:t>
            </w:r>
            <w:r>
              <w:rPr>
                <w:sz w:val="20"/>
                <w:szCs w:val="20"/>
                <w:lang w:val="ru-RU"/>
              </w:rPr>
              <w:t xml:space="preserve">«</w:t>
            </w:r>
            <w:r>
              <w:rPr>
                <w:sz w:val="20"/>
                <w:szCs w:val="20"/>
                <w:lang w:val="ru-RU"/>
              </w:rPr>
              <w:t xml:space="preserve">Газпром</w:t>
            </w:r>
            <w:r>
              <w:rPr>
                <w:sz w:val="20"/>
                <w:szCs w:val="20"/>
                <w:lang w:val="ru-RU"/>
              </w:rPr>
              <w:t xml:space="preserve">»</w:t>
            </w:r>
            <w:r>
              <w:rPr>
                <w:sz w:val="20"/>
                <w:szCs w:val="20"/>
                <w:lang w:val="ru-RU"/>
              </w:rPr>
              <w:t xml:space="preserve"> и ПАО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«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Сургутнефтегаз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»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находящихся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</w:t>
            </w:r>
            <w:r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собственности Сургутского района по состоянию                   на 01.09.2025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  <w:trHeight w:val="36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7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0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 xml:space="preserve">202</w:t>
            </w:r>
            <w:r>
              <w:rPr>
                <w:spacing w:val="-4"/>
                <w:sz w:val="20"/>
                <w:szCs w:val="20"/>
              </w:rPr>
              <w:t xml:space="preserve">8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0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55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tbl>
            <w:tblPr>
              <w:tblStyle w:val="874"/>
              <w:tblW w:w="993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"/>
            </w:tblGrid>
            <w:tr>
              <w:tblPrEx/>
              <w:trPr>
                <w:jc w:val="center"/>
                <w:trHeight w:val="298" w:hRule="exact"/>
              </w:trPr>
              <w:tc>
                <w:tcPr>
                  <w:tcW w:w="993" w:type="dxa"/>
                  <w:vMerge w:val="restart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6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jc w:val="center"/>
                <w:trHeight w:val="186" w:hRule="exact"/>
              </w:trPr>
              <w:tc>
                <w:tcPr>
                  <w:tcW w:w="993" w:type="dxa"/>
                  <w:vMerge w:val="restart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7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jc w:val="center"/>
                <w:trHeight w:val="324" w:hRule="exact"/>
              </w:trPr>
              <w:tc>
                <w:tcPr>
                  <w:tcBorders>
                    <w:bottom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8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</w:tbl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 xml:space="preserve">          </w:t>
            </w:r>
            <w:r>
              <w:rPr>
                <w:spacing w:val="-5"/>
                <w:sz w:val="20"/>
                <w:szCs w:val="20"/>
              </w:rPr>
              <w:t xml:space="preserve">070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875"/>
              <w:ind w:left="82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департамент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управления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муниципальным </w:t>
            </w:r>
            <w:r>
              <w:rPr>
                <w:sz w:val="20"/>
                <w:szCs w:val="20"/>
                <w:lang w:val="ru-RU"/>
              </w:rPr>
              <w:t xml:space="preserve">имуществом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жилищной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политики администрации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Сургутского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64" w:type="dxa"/>
            <w:textDirection w:val="lrTb"/>
            <w:noWrap w:val="false"/>
          </w:tcPr>
          <w:p>
            <w:pPr>
              <w:pStyle w:val="875"/>
              <w:jc w:val="center"/>
              <w:spacing w:before="44" w:line="23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11402053050000410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left="141" w:right="1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доходы от реализации иного имущества, находящегося в собственности муниципальных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ind w:left="141" w:right="1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районов (за исключением имущества муниципальных бюджетных и автономных учреждений, а также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имущества муниципальных унитарных </w:t>
            </w:r>
            <w:r>
              <w:rPr>
                <w:sz w:val="20"/>
                <w:szCs w:val="20"/>
                <w:lang w:val="ru-RU"/>
              </w:rPr>
              <w:t xml:space="preserve">предприятий, в том числе казенных), в части реализации основных средств по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указанному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имуществу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textDirection w:val="lrTb"/>
            <w:noWrap w:val="false"/>
          </w:tcPr>
          <w:tbl>
            <w:tblPr>
              <w:tblStyle w:val="874"/>
              <w:tblW w:w="0" w:type="auto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1"/>
            </w:tblGrid>
            <w:tr>
              <w:tblPrEx/>
              <w:trPr>
                <w:jc w:val="center"/>
                <w:trHeight w:val="298" w:hRule="exact"/>
              </w:trPr>
              <w:tc>
                <w:tcPr>
                  <w:tcW w:w="2121" w:type="dxa"/>
                  <w:vMerge w:val="restart"/>
                  <w:textDirection w:val="lrTb"/>
                  <w:noWrap w:val="false"/>
                </w:tcPr>
                <w:p>
                  <w:pPr>
                    <w:pStyle w:val="875"/>
                    <w:ind w:left="415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512 926 172,00 руб.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jc w:val="center"/>
                <w:trHeight w:val="186" w:hRule="exact"/>
              </w:trPr>
              <w:tc>
                <w:tcPr>
                  <w:tcW w:w="2121" w:type="dxa"/>
                  <w:vMerge w:val="restart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</w:rPr>
                  </w:pPr>
                  <w:r>
                    <w:rPr>
                      <w:spacing w:val="-10"/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jc w:val="center"/>
                <w:trHeight w:val="324" w:hRule="exact"/>
              </w:trPr>
              <w:tc>
                <w:tcPr>
                  <w:tcBorders>
                    <w:bottom w:val="none" w:color="000000" w:sz="4" w:space="0"/>
                  </w:tcBorders>
                  <w:tcW w:w="2121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</w:rPr>
                  </w:pPr>
                  <w:r>
                    <w:rPr>
                      <w:spacing w:val="-10"/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75"/>
              <w:jc w:val="center"/>
              <w:spacing w:before="44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</w:r>
            <w:r>
              <w:rPr>
                <w:spacing w:val="-10"/>
                <w:sz w:val="20"/>
                <w:szCs w:val="20"/>
                <w:lang w:val="ru-RU"/>
              </w:rPr>
            </w:r>
            <w:r>
              <w:rPr>
                <w:spacing w:val="-1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прогнозируемая сумма доходов, рассчитанная на основании отчета об оценке рыночной стоимости аналогичных объектов, с учетом изменения рыночной стоимости объект</w:t>
            </w:r>
            <w:r>
              <w:rPr>
                <w:sz w:val="20"/>
                <w:szCs w:val="20"/>
                <w:lang w:val="ru-RU"/>
              </w:rPr>
              <w:t xml:space="preserve">а на индекс потребительских цен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  <w:trHeight w:val="133"/>
        </w:trPr>
        <w:tc>
          <w:tcPr>
            <w:tcBorders>
              <w:top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tbl>
            <w:tblPr>
              <w:tblStyle w:val="874"/>
              <w:tblW w:w="1052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2"/>
            </w:tblGrid>
            <w:tr>
              <w:tblPrEx/>
              <w:trPr>
                <w:jc w:val="center"/>
                <w:trHeight w:val="402" w:hRule="exact"/>
              </w:trPr>
              <w:tc>
                <w:tcPr>
                  <w:tcW w:w="1052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6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jc w:val="center"/>
                <w:trHeight w:val="402" w:hRule="exact"/>
              </w:trPr>
              <w:tc>
                <w:tcPr>
                  <w:tcW w:w="1052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7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blPrEx/>
              <w:trPr>
                <w:jc w:val="center"/>
                <w:trHeight w:val="2957" w:hRule="exact"/>
              </w:trPr>
              <w:tc>
                <w:tcPr>
                  <w:tcBorders>
                    <w:bottom w:val="single" w:color="auto" w:sz="4" w:space="0"/>
                  </w:tcBorders>
                  <w:tcW w:w="1052" w:type="dxa"/>
                  <w:textDirection w:val="lrTb"/>
                  <w:noWrap w:val="false"/>
                </w:tcPr>
                <w:p>
                  <w:pPr>
                    <w:pStyle w:val="875"/>
                    <w:jc w:val="center"/>
                    <w:spacing w:before="44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 xml:space="preserve">202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8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год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</w:tbl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</w:r>
            <w:r>
              <w:rPr>
                <w:spacing w:val="-4"/>
                <w:sz w:val="20"/>
                <w:szCs w:val="20"/>
                <w:lang w:val="ru-RU"/>
              </w:rPr>
            </w:r>
            <w:r>
              <w:rPr>
                <w:spacing w:val="-4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070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875"/>
              <w:ind w:left="82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департамент управления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75"/>
              <w:ind w:left="8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муниципальным </w:t>
            </w:r>
            <w:r>
              <w:rPr>
                <w:sz w:val="20"/>
                <w:szCs w:val="20"/>
                <w:lang w:val="ru-RU"/>
              </w:rPr>
              <w:t xml:space="preserve">имуществом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жилищной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политики администрации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</w:rPr>
              <w:t xml:space="preserve">Сургутского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района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226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 xml:space="preserve">11406025050000430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ind w:left="141" w:right="1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доходы от продажи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ind w:left="141" w:right="1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земельных участков, находящихся в собственности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ind w:left="141" w:right="1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муниципальных районов (за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исключением земельных участков муниципальных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бюджетных и автономных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учреждений)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38 588 883,00 руб.</w:t>
            </w:r>
            <w:r>
              <w:rPr>
                <w:spacing w:val="-10"/>
                <w:sz w:val="20"/>
                <w:szCs w:val="20"/>
                <w:lang w:val="ru-RU"/>
              </w:rPr>
            </w:r>
            <w:r>
              <w:rPr>
                <w:spacing w:val="-1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</w:t>
            </w:r>
            <w:r>
              <w:rPr>
                <w:sz w:val="20"/>
                <w:szCs w:val="20"/>
                <w:lang w:val="ru-RU"/>
              </w:rPr>
              <w:t xml:space="preserve">рогнозируемая сумма доходов, рассчитанная на </w:t>
            </w:r>
            <w:r>
              <w:rPr>
                <w:sz w:val="20"/>
                <w:szCs w:val="20"/>
                <w:lang w:val="ru-RU"/>
              </w:rPr>
              <w:t xml:space="preserve">основании отчета об оценке рыночной стоимости аналогичных объектов, с учетом изменения рыночной стоимости объект</w:t>
            </w:r>
            <w:r>
              <w:rPr>
                <w:sz w:val="20"/>
                <w:szCs w:val="20"/>
                <w:lang w:val="ru-RU"/>
              </w:rPr>
              <w:t xml:space="preserve">а на индекс потребительских цен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  <w:trHeight w:val="378" w:hRule="exact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pStyle w:val="875"/>
              <w:ind w:left="82" w:right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4" w:type="dxa"/>
            <w:vMerge w:val="continue"/>
            <w:textDirection w:val="lrTb"/>
            <w:noWrap w:val="false"/>
          </w:tcPr>
          <w:p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0</w:t>
            </w:r>
            <w:r>
              <w:rPr>
                <w:spacing w:val="-10"/>
                <w:sz w:val="20"/>
                <w:szCs w:val="20"/>
                <w:lang w:val="ru-RU"/>
              </w:rPr>
            </w:r>
            <w:r>
              <w:rPr>
                <w:spacing w:val="-10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pStyle w:val="875"/>
              <w:ind w:left="82"/>
              <w:jc w:val="center"/>
              <w:spacing w:before="44" w:line="232" w:lineRule="exac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</w:tr>
      <w:tr>
        <w:tblPrEx/>
        <w:trPr>
          <w:jc w:val="center"/>
          <w:trHeight w:val="341" w:hRule="exact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pStyle w:val="875"/>
              <w:ind w:left="82" w:right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4" w:type="dxa"/>
            <w:vMerge w:val="continue"/>
            <w:textDirection w:val="lrTb"/>
            <w:noWrap w:val="false"/>
          </w:tcPr>
          <w:p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0</w:t>
            </w:r>
            <w:r>
              <w:rPr>
                <w:spacing w:val="-10"/>
                <w:sz w:val="20"/>
                <w:szCs w:val="20"/>
                <w:lang w:val="ru-RU"/>
              </w:rPr>
            </w:r>
            <w:r>
              <w:rPr>
                <w:spacing w:val="-10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pStyle w:val="875"/>
              <w:ind w:left="82"/>
              <w:jc w:val="center"/>
              <w:spacing w:before="44" w:line="232" w:lineRule="exac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</w:tr>
      <w:tr>
        <w:tblPrEx/>
        <w:trPr>
          <w:jc w:val="center"/>
          <w:trHeight w:val="1417" w:hRule="exact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pStyle w:val="875"/>
              <w:ind w:left="82" w:right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4" w:type="dxa"/>
            <w:vMerge w:val="continue"/>
            <w:textDirection w:val="lrTb"/>
            <w:noWrap w:val="false"/>
          </w:tcPr>
          <w:p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121" w:type="dxa"/>
            <w:textDirection w:val="lrTb"/>
            <w:noWrap w:val="false"/>
          </w:tcPr>
          <w:p>
            <w:pPr>
              <w:pStyle w:val="875"/>
              <w:jc w:val="center"/>
              <w:spacing w:before="4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</w:r>
            <w:r>
              <w:rPr>
                <w:spacing w:val="-10"/>
                <w:sz w:val="20"/>
                <w:szCs w:val="20"/>
              </w:rPr>
            </w:r>
            <w:r>
              <w:rPr>
                <w:spacing w:val="-10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pStyle w:val="875"/>
              <w:ind w:left="82"/>
              <w:jc w:val="center"/>
              <w:spacing w:before="44" w:line="232" w:lineRule="exac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  <w:r>
              <w:rPr>
                <w:spacing w:val="-4"/>
                <w:sz w:val="20"/>
                <w:szCs w:val="20"/>
              </w:rPr>
            </w:r>
          </w:p>
        </w:tc>
      </w:tr>
    </w:tbl>
    <w:p>
      <w:pPr>
        <w:contextualSpacing/>
        <w:ind w:left="426" w:firstLine="639"/>
        <w:jc w:val="center"/>
        <w:widowControl w:val="off"/>
        <w:rPr>
          <w:rFonts w:eastAsiaTheme="minorHAnsi"/>
          <w:bCs/>
          <w:sz w:val="28"/>
          <w:szCs w:val="28"/>
          <w:lang w:eastAsia="en-US"/>
        </w:rPr>
        <w:outlineLvl w:val="1"/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contextualSpacing/>
        <w:ind w:firstLine="709"/>
        <w:jc w:val="both"/>
        <w:widowControl w:val="off"/>
        <w:rPr>
          <w:rFonts w:eastAsiaTheme="minorHAnsi"/>
          <w:bCs/>
          <w:sz w:val="22"/>
          <w:szCs w:val="22"/>
          <w:lang w:eastAsia="en-US"/>
        </w:rPr>
        <w:outlineLvl w:val="1"/>
      </w:pPr>
      <w:r>
        <w:rPr>
          <w:rFonts w:eastAsiaTheme="minorHAnsi"/>
          <w:sz w:val="22"/>
          <w:szCs w:val="22"/>
          <w:lang w:eastAsia="en-US"/>
        </w:rPr>
        <w:t xml:space="preserve">Расчеты прогнозных объемов поступлений рассчитаны в соответствии с </w:t>
      </w:r>
      <w:r>
        <w:rPr>
          <w:sz w:val="22"/>
          <w:szCs w:val="22"/>
        </w:rPr>
        <w:t xml:space="preserve">приказом департамента управления муниципальным имуществом и жилищной политики администрации Сургутского района от 16.06.2022 №</w:t>
      </w:r>
      <w:r>
        <w:rPr>
          <w:sz w:val="22"/>
          <w:szCs w:val="22"/>
        </w:rPr>
        <w:t xml:space="preserve"> 423 «Об утверждении методики прогнозирования поступлений доходов в бюджет Сургутского района, главным администратором которых является департамент управления муниципальным имуществом и жилищной политики администрации Сургутского района»</w:t>
      </w:r>
      <w:r>
        <w:rPr>
          <w:sz w:val="22"/>
          <w:szCs w:val="22"/>
        </w:rPr>
        <w:t xml:space="preserve">.</w:t>
      </w:r>
      <w:r>
        <w:rPr>
          <w:rFonts w:eastAsiaTheme="minorHAnsi"/>
          <w:bCs/>
          <w:sz w:val="22"/>
          <w:szCs w:val="22"/>
          <w:lang w:eastAsia="en-US"/>
        </w:rPr>
      </w:r>
      <w:r>
        <w:rPr>
          <w:rFonts w:eastAsiaTheme="minorHAnsi"/>
          <w:bCs/>
          <w:sz w:val="22"/>
          <w:szCs w:val="22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2"/>
    <w:next w:val="852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4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4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4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4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4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4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4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62"/>
    <w:uiPriority w:val="99"/>
  </w:style>
  <w:style w:type="character" w:styleId="707">
    <w:name w:val="Footer Char"/>
    <w:basedOn w:val="854"/>
    <w:link w:val="864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4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Heading 1"/>
    <w:basedOn w:val="852"/>
    <w:next w:val="852"/>
    <w:link w:val="872"/>
    <w:uiPriority w:val="99"/>
    <w:qFormat/>
    <w:pPr>
      <w:jc w:val="center"/>
      <w:spacing w:before="108" w:after="108"/>
      <w:outlineLvl w:val="0"/>
    </w:pPr>
    <w:rPr>
      <w:rFonts w:ascii="Arial" w:hAnsi="Arial" w:cs="Arial" w:eastAsiaTheme="minorHAnsi"/>
      <w:b/>
      <w:bCs/>
      <w:color w:val="26282f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Balloon Text"/>
    <w:basedOn w:val="852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4"/>
    <w:link w:val="8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9">
    <w:name w:val="List Paragraph"/>
    <w:basedOn w:val="852"/>
    <w:uiPriority w:val="34"/>
    <w:qFormat/>
    <w:pPr>
      <w:contextualSpacing/>
      <w:ind w:left="720"/>
    </w:pPr>
  </w:style>
  <w:style w:type="paragraph" w:styleId="86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>
    <w:name w:val="Header"/>
    <w:basedOn w:val="852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4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Footer"/>
    <w:basedOn w:val="852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4"/>
    <w:link w:val="86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66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 w:customStyle="1">
    <w:name w:val="Нормальный (таблица)"/>
    <w:basedOn w:val="852"/>
    <w:next w:val="852"/>
    <w:uiPriority w:val="99"/>
    <w:pPr>
      <w:jc w:val="both"/>
      <w:widowControl w:val="off"/>
    </w:pPr>
    <w:rPr>
      <w:rFonts w:ascii="Arial" w:hAnsi="Arial" w:cs="Arial" w:eastAsiaTheme="minorEastAsia"/>
    </w:rPr>
  </w:style>
  <w:style w:type="paragraph" w:styleId="868" w:customStyle="1">
    <w:name w:val="Таблицы (моноширинный)"/>
    <w:basedOn w:val="852"/>
    <w:next w:val="852"/>
    <w:uiPriority w:val="99"/>
    <w:rPr>
      <w:rFonts w:ascii="Courier New" w:hAnsi="Courier New" w:cs="Courier New" w:eastAsiaTheme="minorHAnsi"/>
      <w:lang w:eastAsia="en-US"/>
    </w:rPr>
  </w:style>
  <w:style w:type="paragraph" w:styleId="869" w:customStyle="1">
    <w:name w:val="Прижатый влево"/>
    <w:basedOn w:val="852"/>
    <w:next w:val="852"/>
    <w:uiPriority w:val="99"/>
    <w:pPr>
      <w:widowControl w:val="off"/>
    </w:pPr>
    <w:rPr>
      <w:rFonts w:ascii="Arial" w:hAnsi="Arial" w:cs="Arial" w:eastAsiaTheme="minorEastAsia"/>
    </w:rPr>
  </w:style>
  <w:style w:type="paragraph" w:styleId="870" w:customStyle="1">
    <w:name w:val="Знак Знак Знак Знак"/>
    <w:basedOn w:val="852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871" w:customStyle="1">
    <w:name w:val="Гипертекстовая ссылка"/>
    <w:basedOn w:val="854"/>
    <w:uiPriority w:val="99"/>
    <w:rPr>
      <w:color w:val="106bbe"/>
    </w:rPr>
  </w:style>
  <w:style w:type="character" w:styleId="872" w:customStyle="1">
    <w:name w:val="Заголовок 1 Знак"/>
    <w:basedOn w:val="854"/>
    <w:link w:val="853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styleId="873">
    <w:name w:val="Hyperlink"/>
    <w:basedOn w:val="854"/>
    <w:uiPriority w:val="99"/>
    <w:semiHidden/>
    <w:unhideWhenUsed/>
    <w:rPr>
      <w:color w:val="0000ff"/>
      <w:u w:val="single"/>
    </w:rPr>
  </w:style>
  <w:style w:type="table" w:styleId="87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5" w:customStyle="1">
    <w:name w:val="Table Paragraph"/>
    <w:basedOn w:val="852"/>
    <w:uiPriority w:val="1"/>
    <w:qFormat/>
    <w:pPr>
      <w:widowControl w:val="off"/>
    </w:pPr>
    <w:rPr>
      <w:sz w:val="22"/>
      <w:szCs w:val="22"/>
      <w:lang w:eastAsia="en-US"/>
    </w:rPr>
  </w:style>
  <w:style w:type="table" w:styleId="876" w:customStyle="1">
    <w:name w:val="Сетка таблицы1"/>
    <w:basedOn w:val="855"/>
    <w:next w:val="8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mobileonline.garant.ru/document/redirect/404917355/1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80D7-C575-45D0-941B-011BDA67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Валерьевна</dc:creator>
  <cp:keywords/>
  <dc:description/>
  <cp:lastModifiedBy>gadalinaas</cp:lastModifiedBy>
  <cp:revision>11</cp:revision>
  <dcterms:created xsi:type="dcterms:W3CDTF">2025-09-05T10:58:00Z</dcterms:created>
  <dcterms:modified xsi:type="dcterms:W3CDTF">2025-09-26T10:07:48Z</dcterms:modified>
</cp:coreProperties>
</file>