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A8721E">
        <w:rPr>
          <w:rFonts w:eastAsia="Calibri" w:cs="Times New Roman"/>
          <w:color w:val="000000"/>
          <w:sz w:val="24"/>
          <w:szCs w:val="24"/>
          <w:lang w:eastAsia="en-US"/>
        </w:rPr>
        <w:t>30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октября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="00A8721E">
        <w:rPr>
          <w:rFonts w:eastAsia="Calibri" w:cs="Times New Roman"/>
          <w:color w:val="000000"/>
          <w:sz w:val="24"/>
          <w:szCs w:val="24"/>
          <w:lang w:eastAsia="en-US"/>
        </w:rPr>
        <w:t>4</w:t>
      </w:r>
      <w:r w:rsidR="0092067C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2D3753" w:rsidRDefault="00026BA7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44318366"/>
    </w:p>
    <w:bookmarkEnd w:id="0"/>
    <w:p w:rsidR="00A8721E" w:rsidRDefault="00A8721E" w:rsidP="00A8721E">
      <w:pPr>
        <w:pStyle w:val="HEADERTEXT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администрации сельского   поселения Локосово от 10.08.2020 71-нпа «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установлении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работников  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казенного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подведомственного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Pr="008C74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администрации сельского   поселения   Локосово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20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721E" w:rsidRDefault="00A8721E" w:rsidP="00A8721E">
      <w:pPr>
        <w:pStyle w:val="HEADERTEXT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721E" w:rsidRPr="00873CAB" w:rsidRDefault="00A8721E" w:rsidP="00A8721E">
      <w:pPr>
        <w:pStyle w:val="HEADERTEXT"/>
        <w:ind w:right="481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8721E" w:rsidRPr="00CD2555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CD2555">
        <w:rPr>
          <w:rFonts w:ascii="Times New Roman" w:hAnsi="Times New Roman" w:cs="Times New Roman"/>
          <w:sz w:val="28"/>
          <w:szCs w:val="28"/>
        </w:rPr>
        <w:fldChar w:fldCharType="begin"/>
      </w:r>
      <w:r w:rsidRPr="00CD2555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"kodeks://link/d?nd=901807664&amp;point=mark=000000000000000000000000000000000000000000000000008Q40M3"\o"’’Трудовой кодекс Российской Федерации (с изменениями на 16 декабря 2019 года)’’</w:instrText>
      </w:r>
    </w:p>
    <w:p w:rsidR="00A8721E" w:rsidRPr="00CD2555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55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55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CD2555">
        <w:rPr>
          <w:rFonts w:ascii="Times New Roman" w:hAnsi="Times New Roman" w:cs="Times New Roman"/>
          <w:sz w:val="28"/>
          <w:szCs w:val="28"/>
        </w:rPr>
        <w:fldChar w:fldCharType="separate"/>
      </w:r>
      <w:r w:rsidRPr="00CD2555">
        <w:rPr>
          <w:rFonts w:ascii="Times New Roman" w:hAnsi="Times New Roman" w:cs="Times New Roman"/>
          <w:sz w:val="28"/>
          <w:szCs w:val="28"/>
        </w:rPr>
        <w:t xml:space="preserve">статьёй 144 Трудового кодекса Российской Федерации </w:t>
      </w:r>
      <w:r w:rsidRPr="00CD2555">
        <w:rPr>
          <w:rFonts w:ascii="Times New Roman" w:hAnsi="Times New Roman" w:cs="Times New Roman"/>
          <w:sz w:val="28"/>
          <w:szCs w:val="28"/>
        </w:rPr>
        <w:fldChar w:fldCharType="end"/>
      </w:r>
      <w:r w:rsidRPr="00CD2555">
        <w:rPr>
          <w:rFonts w:ascii="Times New Roman" w:hAnsi="Times New Roman" w:cs="Times New Roman"/>
          <w:sz w:val="28"/>
          <w:szCs w:val="28"/>
        </w:rPr>
        <w:t>в целях упорядочения оплаты труда работников муниципального казенного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«Локосовский центр досуга и творчества»</w:t>
      </w:r>
      <w:r w:rsidRPr="00CD2555">
        <w:rPr>
          <w:rFonts w:ascii="Times New Roman" w:hAnsi="Times New Roman" w:cs="Times New Roman"/>
          <w:sz w:val="28"/>
          <w:szCs w:val="28"/>
        </w:rPr>
        <w:t xml:space="preserve">, подведомственного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Локосово, распоряжением Губернатора Ханты-Мансийского автономного округа - Югры от 15 сентября 2025 года № 299-рг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Об увеличении (индексации) размеров фонда оплаты труда в органах государственной власти Ханты-Мансийского автономного округа - Югры, иных государственных органах</w:t>
      </w:r>
      <w:r w:rsidRPr="0032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 и в подведомственных им государственных учреждениях</w:t>
      </w:r>
      <w:r w:rsidRPr="0032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721E" w:rsidRPr="009674D7" w:rsidRDefault="00A8721E" w:rsidP="00A8721E">
      <w:pPr>
        <w:pStyle w:val="FORMATTEXT"/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C5305">
        <w:rPr>
          <w:rFonts w:ascii="Times New Roman" w:hAnsi="Times New Roman" w:cs="Times New Roman"/>
          <w:sz w:val="28"/>
          <w:szCs w:val="28"/>
        </w:rPr>
        <w:t xml:space="preserve">нести в приложение к постановлению администрации </w:t>
      </w:r>
      <w:r w:rsidRPr="006C5305">
        <w:rPr>
          <w:rFonts w:ascii="Times New Roman" w:hAnsi="Times New Roman" w:cs="Times New Roman"/>
          <w:bCs/>
          <w:sz w:val="28"/>
          <w:szCs w:val="28"/>
        </w:rPr>
        <w:t>сельского</w: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Локосово </w:t>
      </w:r>
      <w:r w:rsidRPr="006C5305">
        <w:rPr>
          <w:rFonts w:ascii="Times New Roman" w:hAnsi="Times New Roman" w:cs="Times New Roman"/>
          <w:bCs/>
          <w:sz w:val="28"/>
          <w:szCs w:val="28"/>
        </w:rPr>
        <w:t>от 10.08.2020 71-нпа «Об утверждении 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5305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7234">
        <w:rPr>
          <w:rFonts w:ascii="Times New Roman" w:hAnsi="Times New Roman" w:cs="Times New Roman"/>
          <w:bCs/>
          <w:sz w:val="28"/>
          <w:szCs w:val="28"/>
        </w:rPr>
        <w:t>установлении системы оплаты труда работников муниципального казенного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7234">
        <w:rPr>
          <w:rFonts w:ascii="Times New Roman" w:hAnsi="Times New Roman" w:cs="Times New Roman"/>
          <w:bCs/>
          <w:sz w:val="28"/>
          <w:szCs w:val="28"/>
        </w:rPr>
        <w:t>учреждения культуры, подведомственного администрации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7234">
        <w:rPr>
          <w:rFonts w:ascii="Times New Roman" w:hAnsi="Times New Roman" w:cs="Times New Roman"/>
          <w:bCs/>
          <w:sz w:val="28"/>
          <w:szCs w:val="28"/>
        </w:rPr>
        <w:t>Локосово» следующие изменения:</w: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BC5326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5326">
        <w:rPr>
          <w:rFonts w:ascii="Times New Roman" w:hAnsi="Times New Roman" w:cs="Times New Roman"/>
          <w:sz w:val="28"/>
          <w:szCs w:val="28"/>
        </w:rPr>
        <w:t xml:space="preserve"> в пункте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5326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BC5326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Pr="00BC5326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</w:r>
      <w:r w:rsidRPr="000A5496">
        <w:rPr>
          <w:rFonts w:ascii="Times New Roman" w:hAnsi="Times New Roman" w:cs="Times New Roman"/>
          <w:sz w:val="28"/>
          <w:szCs w:val="28"/>
        </w:rPr>
        <w:t>Таблицу 2 в пункте 14 Положения изложить в новой редакции согласно приложению 2 к настоящему постановлению.</w: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192A3C">
        <w:rPr>
          <w:rFonts w:ascii="Times New Roman" w:hAnsi="Times New Roman" w:cs="Times New Roman"/>
          <w:sz w:val="28"/>
          <w:szCs w:val="28"/>
        </w:rPr>
        <w:t>Пункт 38. Положения изложить в новой редакции:</w: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3C">
        <w:rPr>
          <w:rFonts w:ascii="Times New Roman" w:hAnsi="Times New Roman" w:cs="Times New Roman"/>
          <w:sz w:val="28"/>
          <w:szCs w:val="28"/>
        </w:rPr>
        <w:t>«38.</w:t>
      </w:r>
      <w:r w:rsidR="00952E41">
        <w:rPr>
          <w:rFonts w:ascii="Times New Roman" w:hAnsi="Times New Roman" w:cs="Times New Roman"/>
          <w:sz w:val="28"/>
          <w:szCs w:val="28"/>
        </w:rPr>
        <w:tab/>
      </w:r>
      <w:r w:rsidRPr="00192A3C">
        <w:rPr>
          <w:rFonts w:ascii="Times New Roman" w:hAnsi="Times New Roman" w:cs="Times New Roman"/>
          <w:sz w:val="28"/>
          <w:szCs w:val="28"/>
        </w:rPr>
        <w:t xml:space="preserve">Размер должностного оклада руководителя учреждения определяется трудовым договором и составляет </w:t>
      </w:r>
      <w:r>
        <w:rPr>
          <w:rFonts w:ascii="Times New Roman" w:hAnsi="Times New Roman" w:cs="Times New Roman"/>
          <w:sz w:val="28"/>
          <w:szCs w:val="28"/>
        </w:rPr>
        <w:t>33 571,00</w:t>
      </w:r>
      <w:r w:rsidRPr="00192A3C">
        <w:rPr>
          <w:rFonts w:ascii="Times New Roman" w:hAnsi="Times New Roman" w:cs="Times New Roman"/>
          <w:sz w:val="28"/>
          <w:szCs w:val="28"/>
        </w:rPr>
        <w:t xml:space="preserve"> рублей». </w:t>
      </w:r>
    </w:p>
    <w:p w:rsidR="00A8721E" w:rsidRPr="003C68B0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68B0">
        <w:rPr>
          <w:rFonts w:ascii="Times New Roman" w:hAnsi="Times New Roman" w:cs="Times New Roman"/>
          <w:sz w:val="28"/>
          <w:szCs w:val="28"/>
        </w:rPr>
        <w:t>.</w:t>
      </w:r>
      <w:r w:rsidRPr="003C68B0">
        <w:rPr>
          <w:rFonts w:ascii="Times New Roman" w:hAnsi="Times New Roman" w:cs="Times New Roman"/>
          <w:sz w:val="28"/>
          <w:szCs w:val="28"/>
        </w:rPr>
        <w:tab/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A8721E" w:rsidRPr="003C68B0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68B0">
        <w:rPr>
          <w:rFonts w:ascii="Times New Roman" w:hAnsi="Times New Roman" w:cs="Times New Roman"/>
          <w:sz w:val="28"/>
          <w:szCs w:val="28"/>
        </w:rPr>
        <w:t>.</w:t>
      </w:r>
      <w:r w:rsidRPr="003C68B0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правоотношение, возникшее с 1 октября 2025 года.</w:t>
      </w:r>
    </w:p>
    <w:p w:rsidR="00A8721E" w:rsidRDefault="00A8721E" w:rsidP="00A8721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C68B0">
        <w:rPr>
          <w:rFonts w:ascii="Times New Roman" w:hAnsi="Times New Roman" w:cs="Times New Roman"/>
          <w:sz w:val="28"/>
          <w:szCs w:val="28"/>
        </w:rPr>
        <w:t>.</w:t>
      </w:r>
      <w:r w:rsidRPr="003C68B0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возложить на заместителя главы сельского поселения Локосово.</w:t>
      </w: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Pr="0042039F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Pr="0042039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03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 А. Кучумов</w:t>
      </w: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</w:t>
      </w: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Локосово </w:t>
      </w: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4AF8">
        <w:rPr>
          <w:rFonts w:ascii="Times New Roman" w:hAnsi="Times New Roman" w:cs="Times New Roman"/>
          <w:sz w:val="24"/>
          <w:szCs w:val="24"/>
        </w:rPr>
        <w:t>«</w:t>
      </w:r>
      <w:bookmarkStart w:id="1" w:name="_GoBack"/>
      <w:bookmarkEnd w:id="1"/>
      <w:r w:rsidR="00134AF8">
        <w:rPr>
          <w:rFonts w:ascii="Times New Roman" w:hAnsi="Times New Roman" w:cs="Times New Roman"/>
          <w:sz w:val="24"/>
          <w:szCs w:val="24"/>
        </w:rPr>
        <w:t>30»</w:t>
      </w:r>
      <w:r>
        <w:rPr>
          <w:rFonts w:ascii="Times New Roman" w:hAnsi="Times New Roman" w:cs="Times New Roman"/>
          <w:sz w:val="24"/>
          <w:szCs w:val="24"/>
        </w:rPr>
        <w:t xml:space="preserve"> октября 2025 года № </w:t>
      </w:r>
      <w:r w:rsidR="00952E41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-нпа</w:t>
      </w:r>
    </w:p>
    <w:p w:rsidR="00A8721E" w:rsidRPr="00D4420A" w:rsidRDefault="00A8721E" w:rsidP="00A8721E">
      <w:pPr>
        <w:tabs>
          <w:tab w:val="center" w:pos="1758"/>
          <w:tab w:val="right" w:pos="9072"/>
        </w:tabs>
        <w:spacing w:line="20" w:lineRule="atLeast"/>
        <w:jc w:val="both"/>
        <w:rPr>
          <w:sz w:val="24"/>
          <w:szCs w:val="24"/>
        </w:rPr>
      </w:pP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 w:rsidRPr="005E7462">
        <w:rPr>
          <w:rFonts w:ascii="Times New Roman" w:hAnsi="Times New Roman" w:cs="Times New Roman"/>
          <w:sz w:val="24"/>
          <w:szCs w:val="24"/>
        </w:rPr>
        <w:t>Таблица 1</w:t>
      </w:r>
    </w:p>
    <w:p w:rsidR="00A8721E" w:rsidRPr="005E7462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 w:rsidRPr="005E7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21E" w:rsidRDefault="00A8721E" w:rsidP="00952E4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A2B7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 и размеры окладов </w:t>
      </w:r>
    </w:p>
    <w:p w:rsidR="00A8721E" w:rsidRPr="000A2B79" w:rsidRDefault="00A8721E" w:rsidP="00952E4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A2B79">
        <w:rPr>
          <w:rFonts w:ascii="Times New Roman" w:hAnsi="Times New Roman" w:cs="Times New Roman"/>
          <w:bCs/>
          <w:color w:val="auto"/>
          <w:sz w:val="28"/>
          <w:szCs w:val="28"/>
        </w:rPr>
        <w:t>(должностных окладов)</w:t>
      </w:r>
    </w:p>
    <w:p w:rsidR="00A8721E" w:rsidRDefault="00A8721E" w:rsidP="00952E4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A2B79">
        <w:rPr>
          <w:rFonts w:ascii="Times New Roman" w:hAnsi="Times New Roman" w:cs="Times New Roman"/>
          <w:bCs/>
          <w:color w:val="auto"/>
          <w:sz w:val="28"/>
          <w:szCs w:val="28"/>
        </w:rPr>
        <w:t>Профессиональная квалификационная группа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Pr="000A2B79">
        <w:rPr>
          <w:rFonts w:ascii="Times New Roman" w:hAnsi="Times New Roman" w:cs="Times New Roman"/>
          <w:bCs/>
          <w:color w:val="auto"/>
          <w:sz w:val="28"/>
          <w:szCs w:val="28"/>
        </w:rPr>
        <w:t>Должности работников культуры, искусства и кинематографии ведущего звена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A8721E" w:rsidRPr="000A2B79" w:rsidRDefault="00A8721E" w:rsidP="00A8721E">
      <w:pPr>
        <w:pStyle w:val="HEADERTEXT"/>
        <w:ind w:firstLine="568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30"/>
        <w:gridCol w:w="2715"/>
        <w:gridCol w:w="2094"/>
      </w:tblGrid>
      <w:tr w:rsidR="00A8721E" w:rsidRPr="0042039F" w:rsidTr="00C20250"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категории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окладов (должностных окладов) (рублей) </w:t>
            </w:r>
          </w:p>
        </w:tc>
      </w:tr>
      <w:tr w:rsidR="00A8721E" w:rsidRPr="0042039F" w:rsidTr="00C20250"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категории.</w:t>
            </w:r>
          </w:p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или среднее профессиональное образование (гуманитарное, культуры и искусства) без предъявления требований к стажу </w:t>
            </w:r>
          </w:p>
        </w:tc>
        <w:tc>
          <w:tcPr>
            <w:tcW w:w="2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12 407,00</w:t>
            </w: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42039F" w:rsidTr="00C20250"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категория.</w:t>
            </w:r>
          </w:p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(культуры и искусства, техническое) без предъявления требований к стажу </w:t>
            </w:r>
          </w:p>
        </w:tc>
        <w:tc>
          <w:tcPr>
            <w:tcW w:w="27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13 027,00</w:t>
            </w: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42039F" w:rsidTr="00C20250"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(культуры и искусства, техническое) без предъявления требований к стажу работы или среднее профессиональное образование (культуры и искусства, техническое) и стаж работы не менее 3 лет в должности звукооператора второй категории </w:t>
            </w:r>
          </w:p>
        </w:tc>
        <w:tc>
          <w:tcPr>
            <w:tcW w:w="2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5579FC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13 648,00</w:t>
            </w:r>
            <w:r w:rsidRPr="0055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8721E" w:rsidRDefault="00A8721E" w:rsidP="00A8721E">
      <w:pPr>
        <w:widowControl w:val="0"/>
        <w:autoSpaceDE w:val="0"/>
        <w:autoSpaceDN w:val="0"/>
        <w:adjustRightInd w:val="0"/>
        <w:ind w:left="1478"/>
        <w:rPr>
          <w:bCs/>
          <w:szCs w:val="28"/>
        </w:rPr>
      </w:pPr>
      <w:r w:rsidRPr="000D2B30">
        <w:rPr>
          <w:bCs/>
          <w:szCs w:val="28"/>
        </w:rPr>
        <w:t xml:space="preserve"> </w:t>
      </w:r>
    </w:p>
    <w:p w:rsidR="00A8721E" w:rsidRDefault="00A8721E" w:rsidP="00952E41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D2B30">
        <w:rPr>
          <w:bCs/>
          <w:szCs w:val="28"/>
        </w:rPr>
        <w:t>Профессиональная квалификационная группа</w:t>
      </w:r>
    </w:p>
    <w:p w:rsidR="00A8721E" w:rsidRDefault="00A8721E" w:rsidP="00952E41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«</w:t>
      </w:r>
      <w:r w:rsidRPr="000D2B30">
        <w:rPr>
          <w:bCs/>
          <w:szCs w:val="28"/>
        </w:rPr>
        <w:t>Должности руководящего состава учреждений культуры и кинематографии</w:t>
      </w:r>
      <w:r>
        <w:rPr>
          <w:bCs/>
          <w:szCs w:val="28"/>
        </w:rPr>
        <w:t>»</w:t>
      </w:r>
    </w:p>
    <w:p w:rsidR="00A8721E" w:rsidRPr="000D2B30" w:rsidRDefault="00A8721E" w:rsidP="00A87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2880"/>
        <w:gridCol w:w="2109"/>
      </w:tblGrid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категории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окладов (должностных окладов) (рублей) 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(культуры и искусства, техническое) без предъявлений требований к стажу работы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Звукорежиссёр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16 417,00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- бакалавриат (культуры и искусства, техническое) без предъявления требований к стажу работы или среднее профессиональное образование (культуры и искусства, техническое) и стаж работы по направлению профессиональной деятельности не менее 3 лет в должности звукорежиссера;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звукооператора 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17 199,00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(культуры и искусства) без предъявления требований к стажу работы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16 429,00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(культуры и искусства) и стаж работы не менее 3 лет в должности режиссера 2 категории 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17 199,00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профессиональное образование (культуры и искусства, педагогическое, техническое) без предъявлений требований к стажу работы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BBE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 самодеятельного искусства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15 635,00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(культуры и искусства, педагогическое, техническое) без предъявлений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клубного формирования не менее 2 лет 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16 417,00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21E" w:rsidRPr="006342BA" w:rsidTr="00C20250"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(культуры и искусства, педагогическое, техническое) и стаж работы в должности руководителя клубного формирования 2 категории не менее 3 лет 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6342BA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17 199,00</w:t>
            </w:r>
            <w:r w:rsidRPr="0063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8721E" w:rsidRPr="00BC5326" w:rsidRDefault="00A8721E" w:rsidP="00A8721E">
      <w:pPr>
        <w:pStyle w:val="FORMATTEX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постановлению </w:t>
      </w: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Локосово </w:t>
      </w:r>
    </w:p>
    <w:p w:rsidR="00A8721E" w:rsidRDefault="00A8721E" w:rsidP="00A8721E">
      <w:pPr>
        <w:pStyle w:val="FORMATTEXT"/>
        <w:ind w:left="14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4AF8">
        <w:rPr>
          <w:rFonts w:ascii="Times New Roman" w:hAnsi="Times New Roman" w:cs="Times New Roman"/>
          <w:sz w:val="24"/>
          <w:szCs w:val="24"/>
        </w:rPr>
        <w:t>«30»</w:t>
      </w:r>
      <w:r>
        <w:rPr>
          <w:rFonts w:ascii="Times New Roman" w:hAnsi="Times New Roman" w:cs="Times New Roman"/>
          <w:sz w:val="24"/>
          <w:szCs w:val="24"/>
        </w:rPr>
        <w:t xml:space="preserve"> октября 2025 года № </w:t>
      </w:r>
      <w:r w:rsidR="00952E41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-нпа</w:t>
      </w:r>
    </w:p>
    <w:p w:rsidR="00A8721E" w:rsidRDefault="00A8721E" w:rsidP="00A8721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721E" w:rsidRDefault="00A8721E" w:rsidP="00A8721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8721E" w:rsidRPr="00175EA8" w:rsidRDefault="00A8721E" w:rsidP="00A8721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75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21E" w:rsidRDefault="00A8721E" w:rsidP="00A8721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A2B7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Размеры окладов (должностных окладов)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A2B7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должностям работников, не включенным в ПКГ </w:t>
      </w:r>
    </w:p>
    <w:p w:rsidR="00A8721E" w:rsidRPr="000A2B79" w:rsidRDefault="00A8721E" w:rsidP="00A8721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2786"/>
        <w:gridCol w:w="4111"/>
        <w:gridCol w:w="1842"/>
      </w:tblGrid>
      <w:tr w:rsidR="00A8721E" w:rsidRPr="0042039F" w:rsidTr="00C2025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>Разряд в соответствии с ЕТКС работ и профессий рабочих /внутридолжностные квалификационные категории/</w:t>
            </w:r>
          </w:p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Уровни квалификации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(должностного оклада) (рублей) </w:t>
            </w:r>
          </w:p>
        </w:tc>
      </w:tr>
      <w:tr w:rsidR="00A8721E" w:rsidRPr="0042039F" w:rsidTr="00C2025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21E" w:rsidRPr="0042039F" w:rsidTr="00C20250">
        <w:trPr>
          <w:trHeight w:val="5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5EA8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19 543,00</w:t>
            </w:r>
          </w:p>
        </w:tc>
      </w:tr>
      <w:tr w:rsidR="00A8721E" w:rsidRPr="0042039F" w:rsidTr="00C2025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административно-хозяйственной деятельности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A8721E">
            <w:pPr>
              <w:pStyle w:val="FORMATTEX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721E" w:rsidRPr="00175EA8" w:rsidRDefault="00A8721E" w:rsidP="00C202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10 743,00</w:t>
            </w:r>
          </w:p>
        </w:tc>
      </w:tr>
    </w:tbl>
    <w:p w:rsidR="00A8721E" w:rsidRDefault="00A8721E" w:rsidP="00A8721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sectPr w:rsidR="00A8721E" w:rsidSect="00952E41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3D9" w:rsidRDefault="000A73D9">
      <w:r>
        <w:separator/>
      </w:r>
    </w:p>
  </w:endnote>
  <w:endnote w:type="continuationSeparator" w:id="0">
    <w:p w:rsidR="000A73D9" w:rsidRDefault="000A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3D9" w:rsidRDefault="000A73D9">
      <w:r>
        <w:separator/>
      </w:r>
    </w:p>
  </w:footnote>
  <w:footnote w:type="continuationSeparator" w:id="0">
    <w:p w:rsidR="000A73D9" w:rsidRDefault="000A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4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5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0A73D9"/>
    <w:rsid w:val="00104DDE"/>
    <w:rsid w:val="00106F43"/>
    <w:rsid w:val="00134AF8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8675F"/>
    <w:rsid w:val="00A8721E"/>
    <w:rsid w:val="00A952A6"/>
    <w:rsid w:val="00AB151D"/>
    <w:rsid w:val="00AB29B6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72AC"/>
    <w:rsid w:val="00BC4B28"/>
    <w:rsid w:val="00BD465F"/>
    <w:rsid w:val="00C015A3"/>
    <w:rsid w:val="00C13F42"/>
    <w:rsid w:val="00C15527"/>
    <w:rsid w:val="00C3569C"/>
    <w:rsid w:val="00C620B5"/>
    <w:rsid w:val="00C76139"/>
    <w:rsid w:val="00C87625"/>
    <w:rsid w:val="00CC03D7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C3A5F"/>
    <w:rsid w:val="00ED6E16"/>
    <w:rsid w:val="00EF2AED"/>
    <w:rsid w:val="00F22F55"/>
    <w:rsid w:val="00F25B01"/>
    <w:rsid w:val="00F373F7"/>
    <w:rsid w:val="00F409D2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AB7B-A594-4630-AF17-80758458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251</cp:revision>
  <cp:lastPrinted>2025-10-30T07:03:00Z</cp:lastPrinted>
  <dcterms:created xsi:type="dcterms:W3CDTF">2014-06-05T10:02:00Z</dcterms:created>
  <dcterms:modified xsi:type="dcterms:W3CDTF">2025-10-31T04:40:00Z</dcterms:modified>
</cp:coreProperties>
</file>