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3"/>
        <w:jc w:val="center"/>
        <w:rPr>
          <w:sz w:val="20"/>
          <w:szCs w:val="20"/>
          <w:lang w:bidi="ru-RU"/>
        </w:rPr>
        <w:pBdr>
          <w:top w:val="single" w:color="FFFFFF" w:sz="4" w:space="1"/>
          <w:left w:val="single" w:color="FFFFFF" w:sz="4" w:space="0"/>
          <w:bottom w:val="single" w:color="FFFFFF" w:sz="4" w:space="1"/>
          <w:right w:val="single" w:color="FFFFFF" w:sz="4" w:space="1"/>
        </w:pBdr>
      </w:pPr>
      <w:r>
        <w:rPr>
          <w:sz w:val="20"/>
          <w:szCs w:val="20"/>
          <w:lang w:bidi="ru-RU"/>
        </w:rPr>
      </w:r>
      <w:r>
        <w:rPr>
          <w:sz w:val="20"/>
          <w:szCs w:val="20"/>
          <w:lang w:bidi="ru-RU"/>
        </w:rPr>
      </w:r>
    </w:p>
    <w:p>
      <w:pPr>
        <w:pStyle w:val="643"/>
        <w:ind w:firstLine="709"/>
        <w:jc w:val="right"/>
        <w:spacing w:line="276" w:lineRule="auto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</w:r>
      <w:r>
        <w:rPr>
          <w:sz w:val="20"/>
          <w:szCs w:val="20"/>
          <w:lang w:bidi="ru-RU"/>
        </w:rPr>
      </w:r>
    </w:p>
    <w:p>
      <w:pPr>
        <w:pStyle w:val="643"/>
        <w:ind w:firstLine="709"/>
        <w:jc w:val="right"/>
        <w:spacing w:line="276" w:lineRule="auto"/>
        <w:rPr>
          <w:lang w:bidi="ru-RU"/>
        </w:rPr>
      </w:pPr>
      <w:r>
        <w:rPr>
          <w:lang w:bidi="ru-RU"/>
        </w:rPr>
        <w:t xml:space="preserve">Приложение № 1 </w:t>
      </w:r>
      <w:r>
        <w:rPr>
          <w:lang w:bidi="ru-RU"/>
        </w:rPr>
      </w:r>
    </w:p>
    <w:p>
      <w:pPr>
        <w:pStyle w:val="643"/>
        <w:ind w:firstLine="709"/>
        <w:jc w:val="right"/>
        <w:spacing w:line="276" w:lineRule="auto"/>
        <w:rPr>
          <w:lang w:bidi="ru-RU"/>
        </w:rPr>
      </w:pPr>
      <w:r>
        <w:rPr>
          <w:lang w:bidi="ru-RU"/>
        </w:rPr>
      </w:r>
      <w:r>
        <w:rPr>
          <w:lang w:bidi="ru-RU"/>
        </w:rPr>
      </w:r>
    </w:p>
    <w:p>
      <w:pPr>
        <w:pStyle w:val="643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Рекомендации по соблюдению условий перевозки, хранения, реализации, уничтожения (утилизации) пищевой продукции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643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643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Продажа пищевой продукции с нарушенной температурной цепочкой является нарушением технического регламента ТР ТС 021/2011. Реализация продукции, повторно замороженной после размораживания, не допускается.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43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Необходимо обеспечить фиксирование температуры хранения продукции в холодильных и морозильных установках. В случае отключения электроэнергии и увеличения температуры в холодильниках выше +4°C дл</w:t>
      </w:r>
      <w:r>
        <w:rPr>
          <w:color w:val="000000"/>
          <w:sz w:val="28"/>
          <w:szCs w:val="28"/>
        </w:rPr>
        <w:t xml:space="preserve">я охлаждённых продуктов или выше 0°C для замороженных продуктов в течении 2 часов (приложение № 1), индивидуальные предприниматели и юридические лица обязаны прекратить реализацию такой продукции и осуществить списание такой продукции с составлением акта.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3. В условиях длительного прекращения работы холодильного оборудования торговый объект доложен переориентировать ассортимент на </w:t>
      </w:r>
      <w:r>
        <w:rPr>
          <w:sz w:val="28"/>
          <w:szCs w:val="28"/>
          <w:lang w:bidi="ru-RU"/>
        </w:rPr>
        <w:t xml:space="preserve">пищевые продукты, не требующие охлаждения или заморозки при хранении (приложение № 2). 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4. В торговом зале рекомендуется р</w:t>
      </w:r>
      <w:r>
        <w:rPr>
          <w:sz w:val="28"/>
          <w:szCs w:val="28"/>
        </w:rPr>
        <w:t xml:space="preserve">азместить объявление с информацией для покупателей о приостановке торговли скоропортящимися товарами. Также рекомендуется уведомить поставщиков скоропортящейся продукции о невозможности соблюдения условий ее хранения в торговом объекте.</w:t>
      </w:r>
      <w:r>
        <w:rPr>
          <w:sz w:val="28"/>
          <w:szCs w:val="28"/>
        </w:rPr>
      </w:r>
    </w:p>
    <w:p>
      <w:pPr>
        <w:pStyle w:val="64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После изъятия и списания скоропортящейся продукции, в случае возобновления подачи электроэнергии, холодильное оборудование п</w:t>
      </w:r>
      <w:r>
        <w:rPr>
          <w:sz w:val="28"/>
          <w:szCs w:val="28"/>
        </w:rPr>
        <w:t xml:space="preserve">одлежит проверке работоспособности и санитарной обработке с применением разрешенных к использованию моющих и дезинфицирующих средств. Хранение списанной продукции перед утилизацией в холодильном оборудовании вместе с реализуемой продукцией не допускается. </w:t>
      </w:r>
      <w:r>
        <w:rPr>
          <w:sz w:val="28"/>
          <w:szCs w:val="28"/>
        </w:rPr>
      </w:r>
    </w:p>
    <w:p>
      <w:pPr>
        <w:pStyle w:val="64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 ц</w:t>
      </w:r>
      <w:r>
        <w:rPr>
          <w:sz w:val="28"/>
          <w:szCs w:val="28"/>
        </w:rPr>
        <w:t xml:space="preserve">елью сохранения стабильной санитарно-эпидемиологической обстановки в регионе, недопущения острых кишечных инфекций и пищевых отравлений в условиях отключения электроэнергии необходимо ограничить работу предприятий общественного питания и отделов кулинарии.</w:t>
      </w:r>
      <w:r>
        <w:rPr>
          <w:sz w:val="28"/>
          <w:szCs w:val="28"/>
        </w:rPr>
      </w:r>
    </w:p>
    <w:p>
      <w:pPr>
        <w:pStyle w:val="64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приготовления пищи на открытом огне, необходимо строго соблюдать условия хранения и транспортировки сырья и готовой продукции. </w:t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3"/>
        <w:ind w:firstLine="709"/>
        <w:jc w:val="right"/>
        <w:spacing w:line="276" w:lineRule="auto"/>
        <w:rPr>
          <w:sz w:val="28"/>
          <w:szCs w:val="28"/>
          <w:lang w:bidi="ru-RU"/>
        </w:rPr>
      </w:pPr>
      <w:r>
        <w:rPr>
          <w:lang w:bidi="ru-RU"/>
        </w:rPr>
        <w:t xml:space="preserve">Приложение № 2 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right"/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jc w:val="center"/>
        <w:spacing w:line="276" w:lineRule="auto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Перечень скоропортящихся пищевых продуктов, </w:t>
      </w:r>
      <w:r>
        <w:rPr>
          <w:b/>
          <w:sz w:val="28"/>
          <w:szCs w:val="28"/>
          <w:lang w:bidi="ru-RU"/>
        </w:rPr>
      </w:r>
    </w:p>
    <w:p>
      <w:pPr>
        <w:pStyle w:val="643"/>
        <w:jc w:val="center"/>
        <w:spacing w:line="276" w:lineRule="auto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требующих особых температурных условий хранения </w:t>
      </w:r>
      <w:r>
        <w:rPr>
          <w:b/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276" w:lineRule="auto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</w:r>
      <w:r>
        <w:rPr>
          <w:b/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Мясо, мясо птицы и полуфабрикаты из них охлажденные, замороженные.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Субпродукты продуктивных животных, в т.ч. птицы (печень, почки, язык, сердце, мозги) охлажденные и замороженные.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Фарш мясной, в т.ч. из мяса птицы, рыбный охлажденный, замороженный.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Ракообразные, двустворчатые моллюски живые, охлажденные, замороженные.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Колбасные изделия.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Молочная продукция (за исключением стерилизованной и ультрапастеризованной, упакованной в многослойную упаковку с асептическим розливом).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Готовые блюда. 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Булочные изделия с начинками.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Кондитерские изделия с кремом.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Сырые очищенные и/или нарезанные овощи.</w:t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ind w:firstLine="709"/>
        <w:jc w:val="right"/>
        <w:spacing w:line="276" w:lineRule="auto"/>
        <w:rPr>
          <w:sz w:val="28"/>
          <w:szCs w:val="28"/>
          <w:lang w:bidi="ru-RU"/>
        </w:rPr>
      </w:pPr>
      <w:r>
        <w:rPr>
          <w:lang w:bidi="ru-RU"/>
        </w:rPr>
        <w:t xml:space="preserve">Приложение № 3 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jc w:val="right"/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jc w:val="center"/>
        <w:spacing w:line="276" w:lineRule="auto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Перечень пищевых продуктов, </w:t>
      </w:r>
      <w:r>
        <w:rPr>
          <w:b/>
          <w:sz w:val="28"/>
          <w:szCs w:val="28"/>
          <w:lang w:bidi="ru-RU"/>
        </w:rPr>
      </w:r>
    </w:p>
    <w:p>
      <w:pPr>
        <w:pStyle w:val="643"/>
        <w:jc w:val="center"/>
        <w:spacing w:line="276" w:lineRule="auto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не требующих хранения в условиях холодильника</w:t>
      </w:r>
      <w:r>
        <w:rPr>
          <w:b/>
          <w:sz w:val="28"/>
          <w:szCs w:val="28"/>
          <w:lang w:bidi="ru-RU"/>
        </w:rPr>
      </w:r>
    </w:p>
    <w:p>
      <w:pPr>
        <w:pStyle w:val="643"/>
        <w:jc w:val="both"/>
        <w:spacing w:line="276" w:lineRule="auto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</w:r>
      <w:r>
        <w:rPr>
          <w:b/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Хлеб и булочные изделия без начинок.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Молоко и сливки стерилизованные и ультрапастеризованные, упакованные в многослойную упаковку с асептическим розливом.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Детские сухие смеси.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Свежие и сушеные овощи и фрукты.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Консервированные продукты, включая детское питание.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Сушеная рыба.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Крупы.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Макаронные изделия.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Растительные масла.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Мучнистые и сахаристые кондитерские изделия без крема.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Чай, кофе, растворимые напитки (кисель, цикорий и т.п.).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Сахар, соль, специи.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Соки фруктовые и овощные пастеризованные.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36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Бутилированная вода, в т.ч. минеральная.</w:t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ind w:firstLine="709"/>
        <w:jc w:val="both"/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3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765" w:right="849" w:bottom="709" w:left="1418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8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4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4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64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64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3"/>
    <w:next w:val="64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3"/>
    <w:next w:val="64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3"/>
    <w:next w:val="64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3"/>
    <w:next w:val="64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3"/>
    <w:next w:val="64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3"/>
    <w:next w:val="64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3"/>
    <w:next w:val="64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3"/>
    <w:next w:val="64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3"/>
    <w:next w:val="64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3"/>
    <w:next w:val="64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3"/>
    <w:next w:val="64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3"/>
    <w:next w:val="64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3"/>
    <w:next w:val="64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43"/>
    <w:next w:val="64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3"/>
    <w:next w:val="64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3"/>
    <w:next w:val="64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3"/>
    <w:next w:val="64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3"/>
    <w:next w:val="64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3"/>
    <w:next w:val="64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3"/>
    <w:next w:val="64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3"/>
    <w:next w:val="64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3"/>
    <w:next w:val="64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3"/>
    <w:next w:val="64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3"/>
    <w:next w:val="643"/>
    <w:uiPriority w:val="99"/>
    <w:unhideWhenUsed/>
    <w:pPr>
      <w:spacing w:after="0" w:afterAutospacing="0"/>
    </w:pPr>
  </w:style>
  <w:style w:type="paragraph" w:styleId="643" w:default="1">
    <w:name w:val="Normal"/>
    <w:next w:val="643"/>
    <w:link w:val="643"/>
    <w:qFormat/>
    <w:rPr>
      <w:sz w:val="24"/>
      <w:szCs w:val="24"/>
      <w:lang w:val="ru-RU" w:eastAsia="zh-CN" w:bidi="ar-SA"/>
    </w:rPr>
  </w:style>
  <w:style w:type="paragraph" w:styleId="644">
    <w:name w:val="Заголовок 1"/>
    <w:basedOn w:val="643"/>
    <w:next w:val="715"/>
    <w:link w:val="643"/>
    <w:qFormat/>
    <w:pPr>
      <w:numPr>
        <w:ilvl w:val="0"/>
        <w:numId w:val="1"/>
      </w:numPr>
      <w:spacing w:before="75" w:after="0"/>
      <w:outlineLvl w:val="0"/>
    </w:pPr>
    <w:rPr>
      <w:color w:val="666699"/>
      <w:sz w:val="42"/>
      <w:szCs w:val="42"/>
    </w:rPr>
  </w:style>
  <w:style w:type="paragraph" w:styleId="645">
    <w:name w:val="Заголовок 2"/>
    <w:basedOn w:val="643"/>
    <w:next w:val="643"/>
    <w:link w:val="643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46">
    <w:name w:val="Заголовок 3"/>
    <w:basedOn w:val="643"/>
    <w:next w:val="643"/>
    <w:link w:val="643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647">
    <w:name w:val="Заголовок 8"/>
    <w:basedOn w:val="643"/>
    <w:next w:val="643"/>
    <w:link w:val="643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648">
    <w:name w:val="Заголовок 9"/>
    <w:basedOn w:val="643"/>
    <w:next w:val="643"/>
    <w:link w:val="643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649">
    <w:name w:val="Основной шрифт абзаца"/>
    <w:next w:val="649"/>
    <w:link w:val="643"/>
    <w:uiPriority w:val="1"/>
    <w:semiHidden/>
    <w:unhideWhenUsed/>
  </w:style>
  <w:style w:type="table" w:styleId="650">
    <w:name w:val="Обычная таблица"/>
    <w:next w:val="650"/>
    <w:link w:val="643"/>
    <w:uiPriority w:val="99"/>
    <w:semiHidden/>
    <w:unhideWhenUsed/>
    <w:tblPr/>
  </w:style>
  <w:style w:type="numbering" w:styleId="651">
    <w:name w:val="Нет списка"/>
    <w:next w:val="651"/>
    <w:link w:val="643"/>
    <w:uiPriority w:val="99"/>
    <w:semiHidden/>
    <w:unhideWhenUsed/>
  </w:style>
  <w:style w:type="character" w:styleId="652">
    <w:name w:val="WW8Num1z0"/>
    <w:next w:val="652"/>
    <w:link w:val="643"/>
  </w:style>
  <w:style w:type="character" w:styleId="653">
    <w:name w:val="WW8Num2z0"/>
    <w:next w:val="653"/>
    <w:link w:val="643"/>
    <w:rPr>
      <w:sz w:val="28"/>
    </w:rPr>
  </w:style>
  <w:style w:type="character" w:styleId="654">
    <w:name w:val="WW8Num3z0"/>
    <w:next w:val="654"/>
    <w:link w:val="643"/>
  </w:style>
  <w:style w:type="character" w:styleId="655">
    <w:name w:val="WW8Num4z0"/>
    <w:next w:val="655"/>
    <w:link w:val="643"/>
    <w:rPr>
      <w:rFonts w:ascii="Times New Roman" w:hAnsi="Times New Roman" w:eastAsia="Times New Roman" w:cs="Times New Roman"/>
    </w:rPr>
  </w:style>
  <w:style w:type="character" w:styleId="656">
    <w:name w:val="WW8Num5z0"/>
    <w:next w:val="656"/>
    <w:link w:val="643"/>
  </w:style>
  <w:style w:type="character" w:styleId="657">
    <w:name w:val="WW8Num6z0"/>
    <w:next w:val="657"/>
    <w:link w:val="643"/>
  </w:style>
  <w:style w:type="character" w:styleId="658">
    <w:name w:val="WW8Num7z0"/>
    <w:next w:val="658"/>
    <w:link w:val="643"/>
    <w:rPr>
      <w:rFonts w:ascii="Symbol" w:hAnsi="Symbol" w:cs="Symbol"/>
      <w:sz w:val="20"/>
    </w:rPr>
  </w:style>
  <w:style w:type="character" w:styleId="659">
    <w:name w:val="WW8Num7z1"/>
    <w:next w:val="659"/>
    <w:link w:val="643"/>
    <w:rPr>
      <w:rFonts w:ascii="Courier New" w:hAnsi="Courier New" w:cs="Courier New"/>
      <w:sz w:val="20"/>
    </w:rPr>
  </w:style>
  <w:style w:type="character" w:styleId="660">
    <w:name w:val="WW8Num7z2"/>
    <w:next w:val="660"/>
    <w:link w:val="643"/>
    <w:rPr>
      <w:rFonts w:ascii="Wingdings" w:hAnsi="Wingdings" w:cs="Wingdings"/>
      <w:sz w:val="20"/>
    </w:rPr>
  </w:style>
  <w:style w:type="character" w:styleId="661">
    <w:name w:val="WW8Num8z0"/>
    <w:next w:val="661"/>
    <w:link w:val="643"/>
  </w:style>
  <w:style w:type="character" w:styleId="662">
    <w:name w:val="WW8Num8z2"/>
    <w:next w:val="662"/>
    <w:link w:val="643"/>
    <w:rPr>
      <w:color w:val="000000"/>
    </w:rPr>
  </w:style>
  <w:style w:type="character" w:styleId="663">
    <w:name w:val="WW8Num9z0"/>
    <w:next w:val="663"/>
    <w:link w:val="643"/>
  </w:style>
  <w:style w:type="character" w:styleId="664">
    <w:name w:val="WW8Num10z0"/>
    <w:next w:val="664"/>
    <w:link w:val="643"/>
    <w:rPr>
      <w:rFonts w:ascii="Times New Roman" w:hAnsi="Times New Roman" w:eastAsia="Times New Roman" w:cs="Times New Roman"/>
    </w:rPr>
  </w:style>
  <w:style w:type="character" w:styleId="665">
    <w:name w:val="WW8Num11z0"/>
    <w:next w:val="665"/>
    <w:link w:val="643"/>
  </w:style>
  <w:style w:type="character" w:styleId="666">
    <w:name w:val="WW8Num12z0"/>
    <w:next w:val="666"/>
    <w:link w:val="643"/>
    <w:rPr>
      <w:rFonts w:ascii="Symbol" w:hAnsi="Symbol" w:cs="Symbol"/>
      <w:sz w:val="20"/>
    </w:rPr>
  </w:style>
  <w:style w:type="character" w:styleId="667">
    <w:name w:val="WW8Num12z1"/>
    <w:next w:val="667"/>
    <w:link w:val="643"/>
    <w:rPr>
      <w:rFonts w:ascii="Courier New" w:hAnsi="Courier New" w:cs="Courier New"/>
      <w:sz w:val="20"/>
    </w:rPr>
  </w:style>
  <w:style w:type="character" w:styleId="668">
    <w:name w:val="WW8Num12z2"/>
    <w:next w:val="668"/>
    <w:link w:val="643"/>
    <w:rPr>
      <w:rFonts w:ascii="Wingdings" w:hAnsi="Wingdings" w:cs="Wingdings"/>
      <w:sz w:val="20"/>
    </w:rPr>
  </w:style>
  <w:style w:type="character" w:styleId="669">
    <w:name w:val="WW8Num13z0"/>
    <w:next w:val="669"/>
    <w:link w:val="643"/>
  </w:style>
  <w:style w:type="character" w:styleId="670">
    <w:name w:val="WW8Num14z0"/>
    <w:next w:val="670"/>
    <w:link w:val="643"/>
    <w:rPr>
      <w:rFonts w:ascii="Symbol" w:hAnsi="Symbol" w:eastAsia="Times New Roman" w:cs="Times New Roman"/>
    </w:rPr>
  </w:style>
  <w:style w:type="character" w:styleId="671">
    <w:name w:val="WW8Num14z1"/>
    <w:next w:val="671"/>
    <w:link w:val="643"/>
    <w:rPr>
      <w:rFonts w:ascii="Courier New" w:hAnsi="Courier New" w:cs="Courier New"/>
    </w:rPr>
  </w:style>
  <w:style w:type="character" w:styleId="672">
    <w:name w:val="WW8Num14z2"/>
    <w:next w:val="672"/>
    <w:link w:val="643"/>
    <w:rPr>
      <w:rFonts w:ascii="Wingdings" w:hAnsi="Wingdings" w:cs="Wingdings"/>
    </w:rPr>
  </w:style>
  <w:style w:type="character" w:styleId="673">
    <w:name w:val="WW8Num14z3"/>
    <w:next w:val="673"/>
    <w:link w:val="643"/>
    <w:rPr>
      <w:rFonts w:ascii="Symbol" w:hAnsi="Symbol" w:cs="Symbol"/>
    </w:rPr>
  </w:style>
  <w:style w:type="character" w:styleId="674">
    <w:name w:val="WW8Num15z0"/>
    <w:next w:val="674"/>
    <w:link w:val="643"/>
  </w:style>
  <w:style w:type="character" w:styleId="675">
    <w:name w:val="WW8Num16z0"/>
    <w:next w:val="675"/>
    <w:link w:val="643"/>
    <w:rPr>
      <w:rFonts w:ascii="Symbol" w:hAnsi="Symbol" w:cs="Symbol"/>
      <w:sz w:val="20"/>
    </w:rPr>
  </w:style>
  <w:style w:type="character" w:styleId="676">
    <w:name w:val="WW8Num16z1"/>
    <w:next w:val="676"/>
    <w:link w:val="643"/>
    <w:rPr>
      <w:rFonts w:ascii="Courier New" w:hAnsi="Courier New" w:cs="Courier New"/>
      <w:sz w:val="20"/>
    </w:rPr>
  </w:style>
  <w:style w:type="character" w:styleId="677">
    <w:name w:val="WW8Num16z2"/>
    <w:next w:val="677"/>
    <w:link w:val="643"/>
    <w:rPr>
      <w:rFonts w:ascii="Wingdings" w:hAnsi="Wingdings" w:cs="Wingdings"/>
      <w:sz w:val="20"/>
    </w:rPr>
  </w:style>
  <w:style w:type="character" w:styleId="678">
    <w:name w:val="WW8Num17z0"/>
    <w:next w:val="678"/>
    <w:link w:val="643"/>
    <w:rPr>
      <w:rFonts w:ascii="Symbol" w:hAnsi="Symbol" w:eastAsia="Times New Roman" w:cs="Times New Roman"/>
    </w:rPr>
  </w:style>
  <w:style w:type="character" w:styleId="679">
    <w:name w:val="WW8Num17z1"/>
    <w:next w:val="679"/>
    <w:link w:val="643"/>
    <w:rPr>
      <w:rFonts w:ascii="Courier New" w:hAnsi="Courier New" w:cs="Courier New"/>
    </w:rPr>
  </w:style>
  <w:style w:type="character" w:styleId="680">
    <w:name w:val="WW8Num17z2"/>
    <w:next w:val="680"/>
    <w:link w:val="643"/>
    <w:rPr>
      <w:rFonts w:ascii="Wingdings" w:hAnsi="Wingdings" w:cs="Wingdings"/>
    </w:rPr>
  </w:style>
  <w:style w:type="character" w:styleId="681">
    <w:name w:val="WW8Num17z3"/>
    <w:next w:val="681"/>
    <w:link w:val="643"/>
    <w:rPr>
      <w:rFonts w:ascii="Symbol" w:hAnsi="Symbol" w:cs="Symbol"/>
    </w:rPr>
  </w:style>
  <w:style w:type="character" w:styleId="682">
    <w:name w:val="WW8Num18z0"/>
    <w:next w:val="682"/>
    <w:link w:val="643"/>
    <w:rPr>
      <w:rFonts w:ascii="Times New Roman" w:hAnsi="Times New Roman" w:eastAsia="Times New Roman" w:cs="Times New Roman"/>
    </w:rPr>
  </w:style>
  <w:style w:type="character" w:styleId="683">
    <w:name w:val="WW8Num18z1"/>
    <w:next w:val="683"/>
    <w:link w:val="643"/>
    <w:rPr>
      <w:rFonts w:ascii="Courier New" w:hAnsi="Courier New" w:cs="Courier New"/>
    </w:rPr>
  </w:style>
  <w:style w:type="character" w:styleId="684">
    <w:name w:val="WW8Num18z2"/>
    <w:next w:val="684"/>
    <w:link w:val="643"/>
    <w:rPr>
      <w:rFonts w:ascii="Wingdings" w:hAnsi="Wingdings" w:cs="Wingdings"/>
    </w:rPr>
  </w:style>
  <w:style w:type="character" w:styleId="685">
    <w:name w:val="WW8Num18z3"/>
    <w:next w:val="685"/>
    <w:link w:val="643"/>
    <w:rPr>
      <w:rFonts w:ascii="Symbol" w:hAnsi="Symbol" w:cs="Symbol"/>
    </w:rPr>
  </w:style>
  <w:style w:type="character" w:styleId="686">
    <w:name w:val="WW8Num19z0"/>
    <w:next w:val="686"/>
    <w:link w:val="643"/>
  </w:style>
  <w:style w:type="character" w:styleId="687">
    <w:name w:val="WW8Num20z0"/>
    <w:next w:val="687"/>
    <w:link w:val="643"/>
  </w:style>
  <w:style w:type="character" w:styleId="688">
    <w:name w:val="WW8Num21z0"/>
    <w:next w:val="688"/>
    <w:link w:val="643"/>
    <w:rPr>
      <w:rFonts w:ascii="Symbol" w:hAnsi="Symbol" w:cs="Symbol"/>
      <w:sz w:val="20"/>
    </w:rPr>
  </w:style>
  <w:style w:type="character" w:styleId="689">
    <w:name w:val="WW8Num21z1"/>
    <w:next w:val="689"/>
    <w:link w:val="643"/>
    <w:rPr>
      <w:rFonts w:ascii="Courier New" w:hAnsi="Courier New" w:cs="Courier New"/>
      <w:sz w:val="20"/>
    </w:rPr>
  </w:style>
  <w:style w:type="character" w:styleId="690">
    <w:name w:val="WW8Num21z2"/>
    <w:next w:val="690"/>
    <w:link w:val="643"/>
    <w:rPr>
      <w:rFonts w:ascii="Wingdings" w:hAnsi="Wingdings" w:cs="Wingdings"/>
      <w:sz w:val="20"/>
    </w:rPr>
  </w:style>
  <w:style w:type="character" w:styleId="691">
    <w:name w:val="WW8Num22z0"/>
    <w:next w:val="691"/>
    <w:link w:val="643"/>
  </w:style>
  <w:style w:type="character" w:styleId="692">
    <w:name w:val="WW8Num24z0"/>
    <w:next w:val="692"/>
    <w:link w:val="643"/>
  </w:style>
  <w:style w:type="character" w:styleId="693">
    <w:name w:val="WW8Num25z0"/>
    <w:next w:val="693"/>
    <w:link w:val="643"/>
    <w:rPr>
      <w:sz w:val="28"/>
    </w:rPr>
  </w:style>
  <w:style w:type="character" w:styleId="694">
    <w:name w:val="WW8Num26z0"/>
    <w:next w:val="694"/>
    <w:link w:val="643"/>
    <w:rPr>
      <w:rFonts w:ascii="Times New Roman" w:hAnsi="Times New Roman" w:eastAsia="Times New Roman" w:cs="Times New Roman"/>
    </w:rPr>
  </w:style>
  <w:style w:type="character" w:styleId="695">
    <w:name w:val="WW8Num26z1"/>
    <w:next w:val="695"/>
    <w:link w:val="643"/>
    <w:rPr>
      <w:rFonts w:ascii="Courier New" w:hAnsi="Courier New" w:cs="Courier New"/>
    </w:rPr>
  </w:style>
  <w:style w:type="character" w:styleId="696">
    <w:name w:val="WW8Num26z2"/>
    <w:next w:val="696"/>
    <w:link w:val="643"/>
    <w:rPr>
      <w:rFonts w:ascii="Wingdings" w:hAnsi="Wingdings" w:cs="Wingdings"/>
    </w:rPr>
  </w:style>
  <w:style w:type="character" w:styleId="697">
    <w:name w:val="WW8Num26z3"/>
    <w:next w:val="697"/>
    <w:link w:val="643"/>
    <w:rPr>
      <w:rFonts w:ascii="Symbol" w:hAnsi="Symbol" w:cs="Symbol"/>
    </w:rPr>
  </w:style>
  <w:style w:type="character" w:styleId="698">
    <w:name w:val="WW8Num27z0"/>
    <w:next w:val="698"/>
    <w:link w:val="643"/>
  </w:style>
  <w:style w:type="character" w:styleId="699">
    <w:name w:val="WW8Num28z0"/>
    <w:next w:val="699"/>
    <w:link w:val="643"/>
  </w:style>
  <w:style w:type="character" w:styleId="700">
    <w:name w:val="Основной шрифт абзаца1"/>
    <w:next w:val="700"/>
    <w:link w:val="643"/>
  </w:style>
  <w:style w:type="character" w:styleId="701">
    <w:name w:val="Номер страницы"/>
    <w:basedOn w:val="700"/>
    <w:next w:val="701"/>
    <w:link w:val="643"/>
  </w:style>
  <w:style w:type="character" w:styleId="702">
    <w:name w:val="Гиперссылка"/>
    <w:next w:val="702"/>
    <w:link w:val="643"/>
    <w:rPr>
      <w:strike w:val="0"/>
      <w:color w:val="000080"/>
      <w:u w:val="none"/>
    </w:rPr>
  </w:style>
  <w:style w:type="character" w:styleId="703">
    <w:name w:val="Строгий"/>
    <w:next w:val="703"/>
    <w:link w:val="643"/>
    <w:qFormat/>
    <w:rPr>
      <w:b/>
      <w:bCs/>
    </w:rPr>
  </w:style>
  <w:style w:type="character" w:styleId="704">
    <w:name w:val="apple-converted-space"/>
    <w:basedOn w:val="700"/>
    <w:next w:val="704"/>
    <w:link w:val="643"/>
  </w:style>
  <w:style w:type="character" w:styleId="705">
    <w:name w:val="Текст выноски Знак"/>
    <w:next w:val="705"/>
    <w:link w:val="643"/>
    <w:rPr>
      <w:rFonts w:ascii="Tahoma" w:hAnsi="Tahoma" w:cs="Tahoma"/>
      <w:sz w:val="16"/>
      <w:szCs w:val="16"/>
    </w:rPr>
  </w:style>
  <w:style w:type="character" w:styleId="706">
    <w:name w:val="Заголовок 3 Знак"/>
    <w:next w:val="706"/>
    <w:link w:val="643"/>
    <w:rPr>
      <w:rFonts w:ascii="Arial" w:hAnsi="Arial" w:cs="Arial"/>
      <w:b/>
      <w:bCs/>
      <w:sz w:val="26"/>
      <w:szCs w:val="26"/>
    </w:rPr>
  </w:style>
  <w:style w:type="character" w:styleId="707">
    <w:name w:val="blk"/>
    <w:basedOn w:val="700"/>
    <w:next w:val="707"/>
    <w:link w:val="643"/>
  </w:style>
  <w:style w:type="character" w:styleId="708">
    <w:name w:val="Основной текст (2)_"/>
    <w:next w:val="708"/>
    <w:link w:val="643"/>
    <w:rPr>
      <w:sz w:val="28"/>
      <w:szCs w:val="28"/>
      <w:shd w:val="clear" w:color="auto" w:fill="ffffff"/>
    </w:rPr>
  </w:style>
  <w:style w:type="character" w:styleId="709">
    <w:name w:val="Верхний колонтитул Знак"/>
    <w:next w:val="709"/>
    <w:link w:val="643"/>
    <w:rPr>
      <w:sz w:val="24"/>
      <w:szCs w:val="24"/>
    </w:rPr>
  </w:style>
  <w:style w:type="character" w:styleId="710">
    <w:name w:val="Основной текст 3 Знак"/>
    <w:next w:val="710"/>
    <w:link w:val="643"/>
    <w:rPr>
      <w:sz w:val="16"/>
      <w:szCs w:val="16"/>
    </w:rPr>
  </w:style>
  <w:style w:type="character" w:styleId="711">
    <w:name w:val="Font Style15"/>
    <w:next w:val="711"/>
    <w:link w:val="643"/>
    <w:rPr>
      <w:rFonts w:ascii="Times New Roman" w:hAnsi="Times New Roman" w:cs="Times New Roman"/>
      <w:sz w:val="26"/>
      <w:szCs w:val="26"/>
    </w:rPr>
  </w:style>
  <w:style w:type="character" w:styleId="712">
    <w:name w:val="Просмотренная гиперссылка"/>
    <w:next w:val="712"/>
    <w:link w:val="643"/>
    <w:rPr>
      <w:color w:val="800080"/>
      <w:u w:val="single"/>
    </w:rPr>
  </w:style>
  <w:style w:type="character" w:styleId="713">
    <w:name w:val="Основной текст с отступом 2 Знак"/>
    <w:next w:val="713"/>
    <w:link w:val="643"/>
    <w:rPr>
      <w:rFonts w:cs="Arial"/>
      <w:b/>
      <w:bCs/>
      <w:color w:val="000000"/>
      <w:sz w:val="28"/>
      <w:szCs w:val="22"/>
    </w:rPr>
  </w:style>
  <w:style w:type="paragraph" w:styleId="714">
    <w:name w:val="Заголовок1"/>
    <w:basedOn w:val="643"/>
    <w:next w:val="715"/>
    <w:link w:val="64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15">
    <w:name w:val="Основной текст"/>
    <w:basedOn w:val="643"/>
    <w:next w:val="715"/>
    <w:link w:val="643"/>
    <w:rPr>
      <w:sz w:val="28"/>
    </w:rPr>
  </w:style>
  <w:style w:type="paragraph" w:styleId="716">
    <w:name w:val="Список"/>
    <w:basedOn w:val="715"/>
    <w:next w:val="716"/>
    <w:link w:val="643"/>
    <w:rPr>
      <w:rFonts w:cs="Arial"/>
    </w:rPr>
  </w:style>
  <w:style w:type="paragraph" w:styleId="717">
    <w:name w:val="Название объекта"/>
    <w:basedOn w:val="643"/>
    <w:next w:val="717"/>
    <w:link w:val="643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18">
    <w:name w:val="Указатель1"/>
    <w:basedOn w:val="643"/>
    <w:next w:val="718"/>
    <w:link w:val="643"/>
    <w:pPr>
      <w:suppressLineNumbers/>
    </w:pPr>
    <w:rPr>
      <w:rFonts w:cs="Arial"/>
    </w:rPr>
  </w:style>
  <w:style w:type="paragraph" w:styleId="719">
    <w:name w:val="Обычный (веб)"/>
    <w:basedOn w:val="643"/>
    <w:next w:val="719"/>
    <w:link w:val="643"/>
    <w:pPr>
      <w:ind w:left="0" w:right="0" w:firstLine="720"/>
      <w:jc w:val="both"/>
      <w:spacing w:before="60" w:after="280"/>
    </w:pPr>
    <w:rPr>
      <w:rFonts w:ascii="Arial" w:hAnsi="Arial" w:cs="Arial"/>
    </w:rPr>
  </w:style>
  <w:style w:type="paragraph" w:styleId="720">
    <w:name w:val="Стандартный HTML"/>
    <w:basedOn w:val="643"/>
    <w:next w:val="720"/>
    <w:link w:val="643"/>
    <w:rPr>
      <w:rFonts w:ascii="Courier New" w:hAnsi="Courier New" w:cs="Courier New"/>
      <w:sz w:val="20"/>
      <w:szCs w:val="20"/>
    </w:rPr>
  </w:style>
  <w:style w:type="paragraph" w:styleId="721">
    <w:name w:val="Колонтитул"/>
    <w:basedOn w:val="643"/>
    <w:next w:val="721"/>
    <w:link w:val="643"/>
    <w:pPr>
      <w:tabs>
        <w:tab w:val="center" w:pos="4819" w:leader="none"/>
        <w:tab w:val="right" w:pos="9638" w:leader="none"/>
      </w:tabs>
      <w:suppressLineNumbers/>
    </w:pPr>
  </w:style>
  <w:style w:type="paragraph" w:styleId="722">
    <w:name w:val="Верхний колонтитул"/>
    <w:basedOn w:val="643"/>
    <w:next w:val="722"/>
    <w:link w:val="643"/>
  </w:style>
  <w:style w:type="paragraph" w:styleId="723">
    <w:name w:val="ConsPlusTitle"/>
    <w:next w:val="723"/>
    <w:link w:val="643"/>
    <w:pPr>
      <w:widowControl w:val="off"/>
    </w:pPr>
    <w:rPr>
      <w:rFonts w:ascii="Arial" w:hAnsi="Arial" w:cs="Arial"/>
      <w:b/>
      <w:bCs/>
      <w:lang w:val="ru-RU" w:eastAsia="zh-CN" w:bidi="ar-SA"/>
    </w:rPr>
  </w:style>
  <w:style w:type="paragraph" w:styleId="724">
    <w:name w:val="ConsPlusNormal"/>
    <w:next w:val="724"/>
    <w:link w:val="643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725">
    <w:name w:val="infoextnormal"/>
    <w:basedOn w:val="643"/>
    <w:next w:val="725"/>
    <w:link w:val="643"/>
    <w:pPr>
      <w:spacing w:before="280" w:after="280"/>
    </w:pPr>
  </w:style>
  <w:style w:type="paragraph" w:styleId="726">
    <w:name w:val="Маркированный список 21"/>
    <w:basedOn w:val="643"/>
    <w:next w:val="726"/>
    <w:link w:val="643"/>
    <w:pPr>
      <w:ind w:left="0" w:right="0" w:firstLine="720"/>
      <w:jc w:val="both"/>
    </w:pPr>
    <w:rPr>
      <w:sz w:val="28"/>
    </w:rPr>
  </w:style>
  <w:style w:type="paragraph" w:styleId="727">
    <w:name w:val="Основной текст с отступом 21"/>
    <w:basedOn w:val="643"/>
    <w:next w:val="727"/>
    <w:link w:val="643"/>
    <w:pPr>
      <w:ind w:left="0" w:right="0" w:firstLine="485"/>
      <w:jc w:val="both"/>
      <w:widowControl w:val="off"/>
    </w:pPr>
    <w:rPr>
      <w:rFonts w:cs="Arial"/>
      <w:b/>
      <w:bCs/>
      <w:color w:val="000000"/>
      <w:sz w:val="28"/>
      <w:szCs w:val="22"/>
    </w:rPr>
  </w:style>
  <w:style w:type="paragraph" w:styleId="728">
    <w:name w:val="Основной текст 21"/>
    <w:basedOn w:val="643"/>
    <w:next w:val="728"/>
    <w:link w:val="643"/>
    <w:pPr>
      <w:spacing w:before="0" w:after="120" w:line="480" w:lineRule="auto"/>
    </w:pPr>
  </w:style>
  <w:style w:type="paragraph" w:styleId="729">
    <w:name w:val="Дата1"/>
    <w:basedOn w:val="643"/>
    <w:next w:val="643"/>
    <w:link w:val="643"/>
  </w:style>
  <w:style w:type="paragraph" w:styleId="730">
    <w:name w:val="Цитата1"/>
    <w:basedOn w:val="643"/>
    <w:next w:val="730"/>
    <w:link w:val="643"/>
    <w:pPr>
      <w:ind w:left="-72" w:right="-108" w:firstLine="36"/>
      <w:jc w:val="center"/>
    </w:pPr>
  </w:style>
  <w:style w:type="paragraph" w:styleId="731">
    <w:name w:val="Основной текст 31"/>
    <w:basedOn w:val="643"/>
    <w:next w:val="731"/>
    <w:link w:val="643"/>
    <w:pPr>
      <w:spacing w:before="0" w:after="120"/>
    </w:pPr>
    <w:rPr>
      <w:sz w:val="16"/>
      <w:szCs w:val="16"/>
    </w:rPr>
  </w:style>
  <w:style w:type="paragraph" w:styleId="732">
    <w:name w:val="Нижний колонтитул"/>
    <w:basedOn w:val="643"/>
    <w:next w:val="732"/>
    <w:link w:val="643"/>
  </w:style>
  <w:style w:type="paragraph" w:styleId="733">
    <w:name w:val="Текст выноски"/>
    <w:basedOn w:val="643"/>
    <w:next w:val="733"/>
    <w:link w:val="643"/>
    <w:rPr>
      <w:rFonts w:ascii="Tahoma" w:hAnsi="Tahoma" w:cs="Tahoma"/>
      <w:sz w:val="16"/>
      <w:szCs w:val="16"/>
      <w:lang w:val="en-US"/>
    </w:rPr>
  </w:style>
  <w:style w:type="paragraph" w:styleId="734">
    <w:name w:val="1"/>
    <w:basedOn w:val="643"/>
    <w:next w:val="734"/>
    <w:link w:val="643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735">
    <w:name w:val="ConsPlusNonformat"/>
    <w:next w:val="735"/>
    <w:link w:val="643"/>
    <w:pPr>
      <w:widowControl w:val="off"/>
    </w:pPr>
    <w:rPr>
      <w:rFonts w:ascii="Courier New" w:hAnsi="Courier New" w:cs="Courier New"/>
      <w:lang w:val="ru-RU" w:eastAsia="zh-CN" w:bidi="ar-SA"/>
    </w:rPr>
  </w:style>
  <w:style w:type="paragraph" w:styleId="736">
    <w:name w:val="Default"/>
    <w:next w:val="736"/>
    <w:link w:val="643"/>
    <w:rPr>
      <w:color w:val="000000"/>
      <w:sz w:val="24"/>
      <w:szCs w:val="24"/>
      <w:lang w:val="ru-RU" w:eastAsia="zh-CN" w:bidi="ar-SA"/>
    </w:rPr>
  </w:style>
  <w:style w:type="paragraph" w:styleId="737">
    <w:name w:val="rteindent1"/>
    <w:basedOn w:val="643"/>
    <w:next w:val="737"/>
    <w:link w:val="643"/>
    <w:pPr>
      <w:ind w:left="600" w:right="0" w:firstLine="0"/>
      <w:spacing w:before="120" w:after="216"/>
    </w:pPr>
  </w:style>
  <w:style w:type="paragraph" w:styleId="738">
    <w:name w:val="Схема документа1"/>
    <w:basedOn w:val="643"/>
    <w:next w:val="738"/>
    <w:link w:val="6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739">
    <w:name w:val="Основной текст (2)"/>
    <w:basedOn w:val="643"/>
    <w:next w:val="739"/>
    <w:link w:val="643"/>
    <w:pPr>
      <w:spacing w:line="324" w:lineRule="exact"/>
      <w:shd w:val="clear" w:color="auto" w:fill="ffffff"/>
      <w:widowControl w:val="off"/>
    </w:pPr>
    <w:rPr>
      <w:sz w:val="28"/>
      <w:szCs w:val="28"/>
      <w:shd w:val="clear" w:color="auto" w:fill="ffffff"/>
    </w:rPr>
  </w:style>
  <w:style w:type="paragraph" w:styleId="740">
    <w:name w:val="formattext"/>
    <w:basedOn w:val="643"/>
    <w:next w:val="740"/>
    <w:link w:val="643"/>
    <w:pPr>
      <w:spacing w:before="280" w:after="280"/>
    </w:pPr>
  </w:style>
  <w:style w:type="paragraph" w:styleId="741">
    <w:name w:val="Без интервала"/>
    <w:next w:val="741"/>
    <w:link w:val="643"/>
    <w:qFormat/>
    <w:rPr>
      <w:rFonts w:ascii="Calibri" w:hAnsi="Calibri" w:cs="Calibri"/>
      <w:sz w:val="22"/>
      <w:szCs w:val="22"/>
      <w:lang w:val="ru-RU" w:eastAsia="zh-CN" w:bidi="ar-SA"/>
    </w:rPr>
  </w:style>
  <w:style w:type="paragraph" w:styleId="742">
    <w:name w:val="Содержимое таблицы"/>
    <w:basedOn w:val="643"/>
    <w:next w:val="742"/>
    <w:link w:val="643"/>
    <w:pPr>
      <w:widowControl w:val="off"/>
      <w:suppressLineNumbers/>
    </w:pPr>
  </w:style>
  <w:style w:type="paragraph" w:styleId="743">
    <w:name w:val="Заголовок таблицы"/>
    <w:basedOn w:val="742"/>
    <w:next w:val="743"/>
    <w:link w:val="643"/>
    <w:pPr>
      <w:jc w:val="center"/>
      <w:suppressLineNumbers/>
    </w:pPr>
    <w:rPr>
      <w:b/>
      <w:bCs/>
    </w:rPr>
  </w:style>
  <w:style w:type="paragraph" w:styleId="744">
    <w:name w:val="Содержимое врезки"/>
    <w:basedOn w:val="643"/>
    <w:next w:val="744"/>
    <w:link w:val="643"/>
  </w:style>
  <w:style w:type="character" w:styleId="1421" w:default="1">
    <w:name w:val="Default Paragraph Font"/>
    <w:uiPriority w:val="1"/>
    <w:semiHidden/>
    <w:unhideWhenUsed/>
  </w:style>
  <w:style w:type="numbering" w:styleId="1422" w:default="1">
    <w:name w:val="No List"/>
    <w:uiPriority w:val="99"/>
    <w:semiHidden/>
    <w:unhideWhenUsed/>
  </w:style>
  <w:style w:type="table" w:styleId="14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Kanygina_NV</dc:creator>
  <cp:lastModifiedBy>OsipovaAM</cp:lastModifiedBy>
  <cp:revision>3</cp:revision>
  <dcterms:created xsi:type="dcterms:W3CDTF">2026-07-29T11:10:00Z</dcterms:created>
  <dcterms:modified xsi:type="dcterms:W3CDTF">2026-08-26T08:03:30Z</dcterms:modified>
  <cp:version>1048576</cp:version>
</cp:coreProperties>
</file>