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3"/>
        <w:ind w:firstLine="709"/>
        <w:jc w:val="right"/>
        <w:spacing w:line="276" w:lineRule="auto"/>
        <w:rPr>
          <w:lang w:bidi="ru-RU"/>
        </w:rPr>
      </w:pPr>
      <w:r>
        <w:rPr>
          <w:lang w:bidi="ru-RU"/>
        </w:rPr>
        <w:t xml:space="preserve">Приложение № 5 </w:t>
      </w:r>
      <w:r>
        <w:rPr>
          <w:lang w:bidi="ru-RU"/>
        </w:rPr>
      </w:r>
    </w:p>
    <w:p>
      <w:pPr>
        <w:pStyle w:val="643"/>
        <w:ind w:firstLine="709"/>
        <w:jc w:val="right"/>
        <w:spacing w:line="276" w:lineRule="auto"/>
        <w:rPr>
          <w:lang w:bidi="ru-RU"/>
        </w:rPr>
      </w:pPr>
      <w:r>
        <w:rPr>
          <w:lang w:bidi="ru-RU"/>
        </w:rPr>
      </w:r>
      <w:r>
        <w:rPr>
          <w:lang w:bidi="ru-RU"/>
        </w:rPr>
      </w:r>
    </w:p>
    <w:p>
      <w:pPr>
        <w:pStyle w:val="643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Рекомендации для хозяйствующих субъектов, осуществляющих хранение, транспортировку и реализацию иммунобиологических лекарственных препаратов </w:t>
      </w:r>
      <w:r>
        <w:rPr>
          <w:b/>
          <w:color w:val="000000"/>
          <w:sz w:val="28"/>
          <w:szCs w:val="28"/>
        </w:rPr>
      </w:r>
    </w:p>
    <w:p>
      <w:pPr>
        <w:pStyle w:val="643"/>
        <w:jc w:val="both"/>
        <w:spacing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643"/>
        <w:ind w:firstLine="567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обеспечения температурного режима хранения иммунобиологических лекарственных препаратов (далее – ИЛП) при отключении электроэнергии н</w:t>
      </w:r>
      <w:r>
        <w:rPr>
          <w:rFonts w:eastAsia="Calibri"/>
          <w:sz w:val="28"/>
          <w:szCs w:val="28"/>
          <w:lang w:eastAsia="en-US"/>
        </w:rPr>
        <w:t xml:space="preserve">еобходимо обеспечить готовность к оперативному реагированию в случае отключения электроэнергии и оперативное проведение мероприятий при отключении электроэнергии в соответствии с планами мероприятий по обеспечению «холодовой цепи» в чрезвычайных ситуациях.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67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67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 xml:space="preserve">I</w:t>
      </w:r>
      <w:r>
        <w:rPr>
          <w:rFonts w:eastAsia="Calibri"/>
          <w:b/>
          <w:sz w:val="28"/>
          <w:szCs w:val="28"/>
          <w:lang w:eastAsia="en-US"/>
        </w:rPr>
        <w:t xml:space="preserve">. В целях контроля обеспечения готовности к оперативному реагированию в случае отключения электроэнергии: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Совместно с органами исполнительной власти субъектов Российской Федерации в сфере охраны здоровья уточнить наличие в организациях, осуществляющих деятельность по тр</w:t>
      </w:r>
      <w:r>
        <w:rPr>
          <w:rFonts w:eastAsia="Calibri"/>
          <w:sz w:val="28"/>
          <w:szCs w:val="28"/>
          <w:lang w:eastAsia="en-US"/>
        </w:rPr>
        <w:t xml:space="preserve">анспортированию, хранению и использованию ИЛП, плана мероприятий по обеспечению «холодовой цепи» в чрезвычайных ситуациях, предусматривающего комплекс мероприятий при полном или локальном отключении энергоснабжения, неисправности холодильного оборудования.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Оценить: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схему размещения холодильных (морозильных) камер и холодильного оборудования, задействованных для размещения иммунобиологических лекарственных препаратов в повседневном режиме;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схему переключения холодильного оборудования на резервные и автономные источники питания; наличие документов, подтверждающих проведение техобслуживания (ремонта) холодильного оборудования;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порядок включения и использования системы автономного электропитания;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расчет потребности холодильного (морозильного) оборудования и термоконтейнеров для обеспечения сохранности иммунобиологических лекарственных препаратов в случае выхода из строя постоянно используемого холодильного оборудования;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схему размещения резервных холодильных (морозильных) камер, холодильного оборудования и термоконтейнеров, используемых только в чрезвычайных ситуациях с расчетом их оптимальной потребности.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 использования для временного размещения ИЛП при чрезвычайных ситуациях холодильного оборудования других организаций, наличие согласования с руководством этих организаций;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порядок использования резервного оборудования для «холодовой цепи», в том числе оборудования для контроля температурного режима и автономных источников освещения;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порядок обеспечения сохранности иммунобиологических лекарственных препаратов во время их транспортирования по прямым и кольцевым маршрутам до резервного холодильного оборудования;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порядок действий по обеспечению условий хранения и транспортирования ИЛП при ЧС;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наличие выделенного транспорта для перевозки ИЛП в случае ЧС с указанием контактных телефонов ответственных лиц;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списочный состав аварийно-восстановительных групп, </w:t>
        <w:br w:type="textWrapping" w:clear="all"/>
        <w:t xml:space="preserve">в т.ч. ответственных лиц;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список лиц, ответственных за обеспечение сохранности иммунобиологических лекарственных препаратов в чрезвычайных ситуациях;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список лиц, ответственных за восстановление работоспособности холодильного оборудования и энергоснабжения;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порядок и средства оповещения ответственных лиц на случай чрезвычайной ситуации.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 xml:space="preserve">II</w:t>
      </w:r>
      <w:r>
        <w:rPr>
          <w:rFonts w:eastAsia="Calibri"/>
          <w:b/>
          <w:sz w:val="28"/>
          <w:szCs w:val="28"/>
          <w:lang w:eastAsia="en-US"/>
        </w:rPr>
        <w:t xml:space="preserve">. При отключении электроэнергии: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Обеспечить контроль хранения ИЛП в организациях с возможностью обеспечения резервного автономного электроснабжения холодильного оборудования.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Рекомендовать органам исполнительной власти субъектов Российской Федерации в сфере охраны здоровья все ИЛП для иммунизации населении, находящиеся в ФАПах, перевести на хранение на 3 уровень «холодовой» цепи.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Оценить наличие в медицинских организациях, осуществляющих резервное хранение ИЛП, утвержденных порядков обеспечения температурного режима хранения и транспортирования ИЛП и обязанности </w:t>
      </w:r>
      <w:r>
        <w:rPr>
          <w:rFonts w:eastAsia="Calibri"/>
          <w:sz w:val="28"/>
          <w:szCs w:val="28"/>
          <w:lang w:eastAsia="en-US"/>
        </w:rPr>
        <w:t xml:space="preserve">должностных лиц, ответственных за обеспечение «холодовой цепи» в данной организации, соблюдение кратности снятия показаний термометров и термоиндикаторов в холодильных (морозильных) камерах (комнатах), холодильниках (морозильниках), в которых хранятся ИЛП.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Взять на особый контроль соблюдение температурного режима хранения ИЛП.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Уточнить данные об имеющихся объемах ИЛП (по видам вакцин) для иммунизации населения в рамках национального и региональных календарей профилактических прививок, календаря про</w:t>
      </w:r>
      <w:r>
        <w:rPr>
          <w:rFonts w:eastAsia="Calibri"/>
          <w:sz w:val="28"/>
          <w:szCs w:val="28"/>
          <w:lang w:eastAsia="en-US"/>
        </w:rPr>
        <w:t xml:space="preserve">филактических прививок по эпидемическим показаниям, которые с учетом резервного размещения хранятся на 2-4 уровнях «холодовой цепи» (в разрезе уровней «холодовой» цепи), объем указанных препаратов, сведения о соблюдении «холодовой цепи» при их перемещении.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В случае нарушения «холодовой цепи» при хранении/перемещении ИЛП при решении вопроса о возможности их дальнейшего использования руководствоваться инструкциями к препаратам.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43"/>
        <w:ind w:firstLine="709"/>
        <w:jc w:val="both"/>
        <w:spacing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В случае невозможности использования ИЛП для иммунизации населения в связи с нарушением температурного режима хранения взять на контроль проведение процедуры уничтожения с соблюдением регламентированных требований.</w:t>
      </w:r>
      <w:r>
        <w:rPr>
          <w:rFonts w:eastAsia="Calibri"/>
          <w:sz w:val="28"/>
          <w:szCs w:val="28"/>
          <w:lang w:eastAsia="en-US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765" w:right="849" w:bottom="709" w:left="1418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8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4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4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64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64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3"/>
    <w:next w:val="64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3"/>
    <w:next w:val="64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3"/>
    <w:next w:val="64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3"/>
    <w:next w:val="64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3"/>
    <w:next w:val="64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3"/>
    <w:next w:val="64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3"/>
    <w:next w:val="64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3"/>
    <w:next w:val="64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3"/>
    <w:next w:val="64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3"/>
    <w:next w:val="64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43"/>
    <w:next w:val="64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43"/>
    <w:next w:val="64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3"/>
    <w:next w:val="64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4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43"/>
    <w:next w:val="64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4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43"/>
    <w:next w:val="64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3"/>
    <w:next w:val="64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3"/>
    <w:next w:val="64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3"/>
    <w:next w:val="64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3"/>
    <w:next w:val="64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3"/>
    <w:next w:val="64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3"/>
    <w:next w:val="64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3"/>
    <w:next w:val="64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3"/>
    <w:next w:val="64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3"/>
    <w:next w:val="643"/>
    <w:uiPriority w:val="99"/>
    <w:unhideWhenUsed/>
    <w:pPr>
      <w:spacing w:after="0" w:afterAutospacing="0"/>
    </w:pPr>
  </w:style>
  <w:style w:type="paragraph" w:styleId="643" w:default="1">
    <w:name w:val="Normal"/>
    <w:next w:val="643"/>
    <w:link w:val="643"/>
    <w:qFormat/>
    <w:rPr>
      <w:sz w:val="24"/>
      <w:szCs w:val="24"/>
      <w:lang w:val="ru-RU" w:eastAsia="zh-CN" w:bidi="ar-SA"/>
    </w:rPr>
  </w:style>
  <w:style w:type="paragraph" w:styleId="644">
    <w:name w:val="Заголовок 1"/>
    <w:basedOn w:val="643"/>
    <w:next w:val="715"/>
    <w:link w:val="643"/>
    <w:qFormat/>
    <w:pPr>
      <w:numPr>
        <w:ilvl w:val="0"/>
        <w:numId w:val="1"/>
      </w:numPr>
      <w:spacing w:before="75" w:after="0"/>
      <w:outlineLvl w:val="0"/>
    </w:pPr>
    <w:rPr>
      <w:color w:val="666699"/>
      <w:sz w:val="42"/>
      <w:szCs w:val="42"/>
    </w:rPr>
  </w:style>
  <w:style w:type="paragraph" w:styleId="645">
    <w:name w:val="Заголовок 2"/>
    <w:basedOn w:val="643"/>
    <w:next w:val="643"/>
    <w:link w:val="643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46">
    <w:name w:val="Заголовок 3"/>
    <w:basedOn w:val="643"/>
    <w:next w:val="643"/>
    <w:link w:val="643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647">
    <w:name w:val="Заголовок 8"/>
    <w:basedOn w:val="643"/>
    <w:next w:val="643"/>
    <w:link w:val="643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648">
    <w:name w:val="Заголовок 9"/>
    <w:basedOn w:val="643"/>
    <w:next w:val="643"/>
    <w:link w:val="643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649">
    <w:name w:val="Основной шрифт абзаца"/>
    <w:next w:val="649"/>
    <w:link w:val="643"/>
    <w:uiPriority w:val="1"/>
    <w:semiHidden/>
    <w:unhideWhenUsed/>
  </w:style>
  <w:style w:type="table" w:styleId="650">
    <w:name w:val="Обычная таблица"/>
    <w:next w:val="650"/>
    <w:link w:val="643"/>
    <w:uiPriority w:val="99"/>
    <w:semiHidden/>
    <w:unhideWhenUsed/>
    <w:tblPr/>
  </w:style>
  <w:style w:type="numbering" w:styleId="651">
    <w:name w:val="Нет списка"/>
    <w:next w:val="651"/>
    <w:link w:val="643"/>
    <w:uiPriority w:val="99"/>
    <w:semiHidden/>
    <w:unhideWhenUsed/>
  </w:style>
  <w:style w:type="character" w:styleId="652">
    <w:name w:val="WW8Num1z0"/>
    <w:next w:val="652"/>
    <w:link w:val="643"/>
  </w:style>
  <w:style w:type="character" w:styleId="653">
    <w:name w:val="WW8Num2z0"/>
    <w:next w:val="653"/>
    <w:link w:val="643"/>
    <w:rPr>
      <w:sz w:val="28"/>
    </w:rPr>
  </w:style>
  <w:style w:type="character" w:styleId="654">
    <w:name w:val="WW8Num3z0"/>
    <w:next w:val="654"/>
    <w:link w:val="643"/>
  </w:style>
  <w:style w:type="character" w:styleId="655">
    <w:name w:val="WW8Num4z0"/>
    <w:next w:val="655"/>
    <w:link w:val="643"/>
    <w:rPr>
      <w:rFonts w:ascii="Times New Roman" w:hAnsi="Times New Roman" w:eastAsia="Times New Roman" w:cs="Times New Roman"/>
    </w:rPr>
  </w:style>
  <w:style w:type="character" w:styleId="656">
    <w:name w:val="WW8Num5z0"/>
    <w:next w:val="656"/>
    <w:link w:val="643"/>
  </w:style>
  <w:style w:type="character" w:styleId="657">
    <w:name w:val="WW8Num6z0"/>
    <w:next w:val="657"/>
    <w:link w:val="643"/>
  </w:style>
  <w:style w:type="character" w:styleId="658">
    <w:name w:val="WW8Num7z0"/>
    <w:next w:val="658"/>
    <w:link w:val="643"/>
    <w:rPr>
      <w:rFonts w:ascii="Symbol" w:hAnsi="Symbol" w:cs="Symbol"/>
      <w:sz w:val="20"/>
    </w:rPr>
  </w:style>
  <w:style w:type="character" w:styleId="659">
    <w:name w:val="WW8Num7z1"/>
    <w:next w:val="659"/>
    <w:link w:val="643"/>
    <w:rPr>
      <w:rFonts w:ascii="Courier New" w:hAnsi="Courier New" w:cs="Courier New"/>
      <w:sz w:val="20"/>
    </w:rPr>
  </w:style>
  <w:style w:type="character" w:styleId="660">
    <w:name w:val="WW8Num7z2"/>
    <w:next w:val="660"/>
    <w:link w:val="643"/>
    <w:rPr>
      <w:rFonts w:ascii="Wingdings" w:hAnsi="Wingdings" w:cs="Wingdings"/>
      <w:sz w:val="20"/>
    </w:rPr>
  </w:style>
  <w:style w:type="character" w:styleId="661">
    <w:name w:val="WW8Num8z0"/>
    <w:next w:val="661"/>
    <w:link w:val="643"/>
  </w:style>
  <w:style w:type="character" w:styleId="662">
    <w:name w:val="WW8Num8z2"/>
    <w:next w:val="662"/>
    <w:link w:val="643"/>
    <w:rPr>
      <w:color w:val="000000"/>
    </w:rPr>
  </w:style>
  <w:style w:type="character" w:styleId="663">
    <w:name w:val="WW8Num9z0"/>
    <w:next w:val="663"/>
    <w:link w:val="643"/>
  </w:style>
  <w:style w:type="character" w:styleId="664">
    <w:name w:val="WW8Num10z0"/>
    <w:next w:val="664"/>
    <w:link w:val="643"/>
    <w:rPr>
      <w:rFonts w:ascii="Times New Roman" w:hAnsi="Times New Roman" w:eastAsia="Times New Roman" w:cs="Times New Roman"/>
    </w:rPr>
  </w:style>
  <w:style w:type="character" w:styleId="665">
    <w:name w:val="WW8Num11z0"/>
    <w:next w:val="665"/>
    <w:link w:val="643"/>
  </w:style>
  <w:style w:type="character" w:styleId="666">
    <w:name w:val="WW8Num12z0"/>
    <w:next w:val="666"/>
    <w:link w:val="643"/>
    <w:rPr>
      <w:rFonts w:ascii="Symbol" w:hAnsi="Symbol" w:cs="Symbol"/>
      <w:sz w:val="20"/>
    </w:rPr>
  </w:style>
  <w:style w:type="character" w:styleId="667">
    <w:name w:val="WW8Num12z1"/>
    <w:next w:val="667"/>
    <w:link w:val="643"/>
    <w:rPr>
      <w:rFonts w:ascii="Courier New" w:hAnsi="Courier New" w:cs="Courier New"/>
      <w:sz w:val="20"/>
    </w:rPr>
  </w:style>
  <w:style w:type="character" w:styleId="668">
    <w:name w:val="WW8Num12z2"/>
    <w:next w:val="668"/>
    <w:link w:val="643"/>
    <w:rPr>
      <w:rFonts w:ascii="Wingdings" w:hAnsi="Wingdings" w:cs="Wingdings"/>
      <w:sz w:val="20"/>
    </w:rPr>
  </w:style>
  <w:style w:type="character" w:styleId="669">
    <w:name w:val="WW8Num13z0"/>
    <w:next w:val="669"/>
    <w:link w:val="643"/>
  </w:style>
  <w:style w:type="character" w:styleId="670">
    <w:name w:val="WW8Num14z0"/>
    <w:next w:val="670"/>
    <w:link w:val="643"/>
    <w:rPr>
      <w:rFonts w:ascii="Symbol" w:hAnsi="Symbol" w:eastAsia="Times New Roman" w:cs="Times New Roman"/>
    </w:rPr>
  </w:style>
  <w:style w:type="character" w:styleId="671">
    <w:name w:val="WW8Num14z1"/>
    <w:next w:val="671"/>
    <w:link w:val="643"/>
    <w:rPr>
      <w:rFonts w:ascii="Courier New" w:hAnsi="Courier New" w:cs="Courier New"/>
    </w:rPr>
  </w:style>
  <w:style w:type="character" w:styleId="672">
    <w:name w:val="WW8Num14z2"/>
    <w:next w:val="672"/>
    <w:link w:val="643"/>
    <w:rPr>
      <w:rFonts w:ascii="Wingdings" w:hAnsi="Wingdings" w:cs="Wingdings"/>
    </w:rPr>
  </w:style>
  <w:style w:type="character" w:styleId="673">
    <w:name w:val="WW8Num14z3"/>
    <w:next w:val="673"/>
    <w:link w:val="643"/>
    <w:rPr>
      <w:rFonts w:ascii="Symbol" w:hAnsi="Symbol" w:cs="Symbol"/>
    </w:rPr>
  </w:style>
  <w:style w:type="character" w:styleId="674">
    <w:name w:val="WW8Num15z0"/>
    <w:next w:val="674"/>
    <w:link w:val="643"/>
  </w:style>
  <w:style w:type="character" w:styleId="675">
    <w:name w:val="WW8Num16z0"/>
    <w:next w:val="675"/>
    <w:link w:val="643"/>
    <w:rPr>
      <w:rFonts w:ascii="Symbol" w:hAnsi="Symbol" w:cs="Symbol"/>
      <w:sz w:val="20"/>
    </w:rPr>
  </w:style>
  <w:style w:type="character" w:styleId="676">
    <w:name w:val="WW8Num16z1"/>
    <w:next w:val="676"/>
    <w:link w:val="643"/>
    <w:rPr>
      <w:rFonts w:ascii="Courier New" w:hAnsi="Courier New" w:cs="Courier New"/>
      <w:sz w:val="20"/>
    </w:rPr>
  </w:style>
  <w:style w:type="character" w:styleId="677">
    <w:name w:val="WW8Num16z2"/>
    <w:next w:val="677"/>
    <w:link w:val="643"/>
    <w:rPr>
      <w:rFonts w:ascii="Wingdings" w:hAnsi="Wingdings" w:cs="Wingdings"/>
      <w:sz w:val="20"/>
    </w:rPr>
  </w:style>
  <w:style w:type="character" w:styleId="678">
    <w:name w:val="WW8Num17z0"/>
    <w:next w:val="678"/>
    <w:link w:val="643"/>
    <w:rPr>
      <w:rFonts w:ascii="Symbol" w:hAnsi="Symbol" w:eastAsia="Times New Roman" w:cs="Times New Roman"/>
    </w:rPr>
  </w:style>
  <w:style w:type="character" w:styleId="679">
    <w:name w:val="WW8Num17z1"/>
    <w:next w:val="679"/>
    <w:link w:val="643"/>
    <w:rPr>
      <w:rFonts w:ascii="Courier New" w:hAnsi="Courier New" w:cs="Courier New"/>
    </w:rPr>
  </w:style>
  <w:style w:type="character" w:styleId="680">
    <w:name w:val="WW8Num17z2"/>
    <w:next w:val="680"/>
    <w:link w:val="643"/>
    <w:rPr>
      <w:rFonts w:ascii="Wingdings" w:hAnsi="Wingdings" w:cs="Wingdings"/>
    </w:rPr>
  </w:style>
  <w:style w:type="character" w:styleId="681">
    <w:name w:val="WW8Num17z3"/>
    <w:next w:val="681"/>
    <w:link w:val="643"/>
    <w:rPr>
      <w:rFonts w:ascii="Symbol" w:hAnsi="Symbol" w:cs="Symbol"/>
    </w:rPr>
  </w:style>
  <w:style w:type="character" w:styleId="682">
    <w:name w:val="WW8Num18z0"/>
    <w:next w:val="682"/>
    <w:link w:val="643"/>
    <w:rPr>
      <w:rFonts w:ascii="Times New Roman" w:hAnsi="Times New Roman" w:eastAsia="Times New Roman" w:cs="Times New Roman"/>
    </w:rPr>
  </w:style>
  <w:style w:type="character" w:styleId="683">
    <w:name w:val="WW8Num18z1"/>
    <w:next w:val="683"/>
    <w:link w:val="643"/>
    <w:rPr>
      <w:rFonts w:ascii="Courier New" w:hAnsi="Courier New" w:cs="Courier New"/>
    </w:rPr>
  </w:style>
  <w:style w:type="character" w:styleId="684">
    <w:name w:val="WW8Num18z2"/>
    <w:next w:val="684"/>
    <w:link w:val="643"/>
    <w:rPr>
      <w:rFonts w:ascii="Wingdings" w:hAnsi="Wingdings" w:cs="Wingdings"/>
    </w:rPr>
  </w:style>
  <w:style w:type="character" w:styleId="685">
    <w:name w:val="WW8Num18z3"/>
    <w:next w:val="685"/>
    <w:link w:val="643"/>
    <w:rPr>
      <w:rFonts w:ascii="Symbol" w:hAnsi="Symbol" w:cs="Symbol"/>
    </w:rPr>
  </w:style>
  <w:style w:type="character" w:styleId="686">
    <w:name w:val="WW8Num19z0"/>
    <w:next w:val="686"/>
    <w:link w:val="643"/>
  </w:style>
  <w:style w:type="character" w:styleId="687">
    <w:name w:val="WW8Num20z0"/>
    <w:next w:val="687"/>
    <w:link w:val="643"/>
  </w:style>
  <w:style w:type="character" w:styleId="688">
    <w:name w:val="WW8Num21z0"/>
    <w:next w:val="688"/>
    <w:link w:val="643"/>
    <w:rPr>
      <w:rFonts w:ascii="Symbol" w:hAnsi="Symbol" w:cs="Symbol"/>
      <w:sz w:val="20"/>
    </w:rPr>
  </w:style>
  <w:style w:type="character" w:styleId="689">
    <w:name w:val="WW8Num21z1"/>
    <w:next w:val="689"/>
    <w:link w:val="643"/>
    <w:rPr>
      <w:rFonts w:ascii="Courier New" w:hAnsi="Courier New" w:cs="Courier New"/>
      <w:sz w:val="20"/>
    </w:rPr>
  </w:style>
  <w:style w:type="character" w:styleId="690">
    <w:name w:val="WW8Num21z2"/>
    <w:next w:val="690"/>
    <w:link w:val="643"/>
    <w:rPr>
      <w:rFonts w:ascii="Wingdings" w:hAnsi="Wingdings" w:cs="Wingdings"/>
      <w:sz w:val="20"/>
    </w:rPr>
  </w:style>
  <w:style w:type="character" w:styleId="691">
    <w:name w:val="WW8Num22z0"/>
    <w:next w:val="691"/>
    <w:link w:val="643"/>
  </w:style>
  <w:style w:type="character" w:styleId="692">
    <w:name w:val="WW8Num24z0"/>
    <w:next w:val="692"/>
    <w:link w:val="643"/>
  </w:style>
  <w:style w:type="character" w:styleId="693">
    <w:name w:val="WW8Num25z0"/>
    <w:next w:val="693"/>
    <w:link w:val="643"/>
    <w:rPr>
      <w:sz w:val="28"/>
    </w:rPr>
  </w:style>
  <w:style w:type="character" w:styleId="694">
    <w:name w:val="WW8Num26z0"/>
    <w:next w:val="694"/>
    <w:link w:val="643"/>
    <w:rPr>
      <w:rFonts w:ascii="Times New Roman" w:hAnsi="Times New Roman" w:eastAsia="Times New Roman" w:cs="Times New Roman"/>
    </w:rPr>
  </w:style>
  <w:style w:type="character" w:styleId="695">
    <w:name w:val="WW8Num26z1"/>
    <w:next w:val="695"/>
    <w:link w:val="643"/>
    <w:rPr>
      <w:rFonts w:ascii="Courier New" w:hAnsi="Courier New" w:cs="Courier New"/>
    </w:rPr>
  </w:style>
  <w:style w:type="character" w:styleId="696">
    <w:name w:val="WW8Num26z2"/>
    <w:next w:val="696"/>
    <w:link w:val="643"/>
    <w:rPr>
      <w:rFonts w:ascii="Wingdings" w:hAnsi="Wingdings" w:cs="Wingdings"/>
    </w:rPr>
  </w:style>
  <w:style w:type="character" w:styleId="697">
    <w:name w:val="WW8Num26z3"/>
    <w:next w:val="697"/>
    <w:link w:val="643"/>
    <w:rPr>
      <w:rFonts w:ascii="Symbol" w:hAnsi="Symbol" w:cs="Symbol"/>
    </w:rPr>
  </w:style>
  <w:style w:type="character" w:styleId="698">
    <w:name w:val="WW8Num27z0"/>
    <w:next w:val="698"/>
    <w:link w:val="643"/>
  </w:style>
  <w:style w:type="character" w:styleId="699">
    <w:name w:val="WW8Num28z0"/>
    <w:next w:val="699"/>
    <w:link w:val="643"/>
  </w:style>
  <w:style w:type="character" w:styleId="700">
    <w:name w:val="Основной шрифт абзаца1"/>
    <w:next w:val="700"/>
    <w:link w:val="643"/>
  </w:style>
  <w:style w:type="character" w:styleId="701">
    <w:name w:val="Номер страницы"/>
    <w:basedOn w:val="700"/>
    <w:next w:val="701"/>
    <w:link w:val="643"/>
  </w:style>
  <w:style w:type="character" w:styleId="702">
    <w:name w:val="Гиперссылка"/>
    <w:next w:val="702"/>
    <w:link w:val="643"/>
    <w:rPr>
      <w:strike w:val="0"/>
      <w:color w:val="000080"/>
      <w:u w:val="none"/>
    </w:rPr>
  </w:style>
  <w:style w:type="character" w:styleId="703">
    <w:name w:val="Строгий"/>
    <w:next w:val="703"/>
    <w:link w:val="643"/>
    <w:qFormat/>
    <w:rPr>
      <w:b/>
      <w:bCs/>
    </w:rPr>
  </w:style>
  <w:style w:type="character" w:styleId="704">
    <w:name w:val="apple-converted-space"/>
    <w:basedOn w:val="700"/>
    <w:next w:val="704"/>
    <w:link w:val="643"/>
  </w:style>
  <w:style w:type="character" w:styleId="705">
    <w:name w:val="Текст выноски Знак"/>
    <w:next w:val="705"/>
    <w:link w:val="643"/>
    <w:rPr>
      <w:rFonts w:ascii="Tahoma" w:hAnsi="Tahoma" w:cs="Tahoma"/>
      <w:sz w:val="16"/>
      <w:szCs w:val="16"/>
    </w:rPr>
  </w:style>
  <w:style w:type="character" w:styleId="706">
    <w:name w:val="Заголовок 3 Знак"/>
    <w:next w:val="706"/>
    <w:link w:val="643"/>
    <w:rPr>
      <w:rFonts w:ascii="Arial" w:hAnsi="Arial" w:cs="Arial"/>
      <w:b/>
      <w:bCs/>
      <w:sz w:val="26"/>
      <w:szCs w:val="26"/>
    </w:rPr>
  </w:style>
  <w:style w:type="character" w:styleId="707">
    <w:name w:val="blk"/>
    <w:basedOn w:val="700"/>
    <w:next w:val="707"/>
    <w:link w:val="643"/>
  </w:style>
  <w:style w:type="character" w:styleId="708">
    <w:name w:val="Основной текст (2)_"/>
    <w:next w:val="708"/>
    <w:link w:val="643"/>
    <w:rPr>
      <w:sz w:val="28"/>
      <w:szCs w:val="28"/>
      <w:shd w:val="clear" w:color="auto" w:fill="ffffff"/>
    </w:rPr>
  </w:style>
  <w:style w:type="character" w:styleId="709">
    <w:name w:val="Верхний колонтитул Знак"/>
    <w:next w:val="709"/>
    <w:link w:val="643"/>
    <w:rPr>
      <w:sz w:val="24"/>
      <w:szCs w:val="24"/>
    </w:rPr>
  </w:style>
  <w:style w:type="character" w:styleId="710">
    <w:name w:val="Основной текст 3 Знак"/>
    <w:next w:val="710"/>
    <w:link w:val="643"/>
    <w:rPr>
      <w:sz w:val="16"/>
      <w:szCs w:val="16"/>
    </w:rPr>
  </w:style>
  <w:style w:type="character" w:styleId="711">
    <w:name w:val="Font Style15"/>
    <w:next w:val="711"/>
    <w:link w:val="643"/>
    <w:rPr>
      <w:rFonts w:ascii="Times New Roman" w:hAnsi="Times New Roman" w:cs="Times New Roman"/>
      <w:sz w:val="26"/>
      <w:szCs w:val="26"/>
    </w:rPr>
  </w:style>
  <w:style w:type="character" w:styleId="712">
    <w:name w:val="Просмотренная гиперссылка"/>
    <w:next w:val="712"/>
    <w:link w:val="643"/>
    <w:rPr>
      <w:color w:val="800080"/>
      <w:u w:val="single"/>
    </w:rPr>
  </w:style>
  <w:style w:type="character" w:styleId="713">
    <w:name w:val="Основной текст с отступом 2 Знак"/>
    <w:next w:val="713"/>
    <w:link w:val="643"/>
    <w:rPr>
      <w:rFonts w:cs="Arial"/>
      <w:b/>
      <w:bCs/>
      <w:color w:val="000000"/>
      <w:sz w:val="28"/>
      <w:szCs w:val="22"/>
    </w:rPr>
  </w:style>
  <w:style w:type="paragraph" w:styleId="714">
    <w:name w:val="Заголовок1"/>
    <w:basedOn w:val="643"/>
    <w:next w:val="715"/>
    <w:link w:val="643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15">
    <w:name w:val="Основной текст"/>
    <w:basedOn w:val="643"/>
    <w:next w:val="715"/>
    <w:link w:val="643"/>
    <w:rPr>
      <w:sz w:val="28"/>
    </w:rPr>
  </w:style>
  <w:style w:type="paragraph" w:styleId="716">
    <w:name w:val="Список"/>
    <w:basedOn w:val="715"/>
    <w:next w:val="716"/>
    <w:link w:val="643"/>
    <w:rPr>
      <w:rFonts w:cs="Arial"/>
    </w:rPr>
  </w:style>
  <w:style w:type="paragraph" w:styleId="717">
    <w:name w:val="Название объекта"/>
    <w:basedOn w:val="643"/>
    <w:next w:val="717"/>
    <w:link w:val="643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18">
    <w:name w:val="Указатель1"/>
    <w:basedOn w:val="643"/>
    <w:next w:val="718"/>
    <w:link w:val="643"/>
    <w:pPr>
      <w:suppressLineNumbers/>
    </w:pPr>
    <w:rPr>
      <w:rFonts w:cs="Arial"/>
    </w:rPr>
  </w:style>
  <w:style w:type="paragraph" w:styleId="719">
    <w:name w:val="Обычный (веб)"/>
    <w:basedOn w:val="643"/>
    <w:next w:val="719"/>
    <w:link w:val="643"/>
    <w:pPr>
      <w:ind w:left="0" w:right="0" w:firstLine="720"/>
      <w:jc w:val="both"/>
      <w:spacing w:before="60" w:after="280"/>
    </w:pPr>
    <w:rPr>
      <w:rFonts w:ascii="Arial" w:hAnsi="Arial" w:cs="Arial"/>
    </w:rPr>
  </w:style>
  <w:style w:type="paragraph" w:styleId="720">
    <w:name w:val="Стандартный HTML"/>
    <w:basedOn w:val="643"/>
    <w:next w:val="720"/>
    <w:link w:val="643"/>
    <w:rPr>
      <w:rFonts w:ascii="Courier New" w:hAnsi="Courier New" w:cs="Courier New"/>
      <w:sz w:val="20"/>
      <w:szCs w:val="20"/>
    </w:rPr>
  </w:style>
  <w:style w:type="paragraph" w:styleId="721">
    <w:name w:val="Колонтитул"/>
    <w:basedOn w:val="643"/>
    <w:next w:val="721"/>
    <w:link w:val="643"/>
    <w:pPr>
      <w:tabs>
        <w:tab w:val="center" w:pos="4819" w:leader="none"/>
        <w:tab w:val="right" w:pos="9638" w:leader="none"/>
      </w:tabs>
      <w:suppressLineNumbers/>
    </w:pPr>
  </w:style>
  <w:style w:type="paragraph" w:styleId="722">
    <w:name w:val="Верхний колонтитул"/>
    <w:basedOn w:val="643"/>
    <w:next w:val="722"/>
    <w:link w:val="643"/>
  </w:style>
  <w:style w:type="paragraph" w:styleId="723">
    <w:name w:val="ConsPlusTitle"/>
    <w:next w:val="723"/>
    <w:link w:val="643"/>
    <w:pPr>
      <w:widowControl w:val="off"/>
    </w:pPr>
    <w:rPr>
      <w:rFonts w:ascii="Arial" w:hAnsi="Arial" w:cs="Arial"/>
      <w:b/>
      <w:bCs/>
      <w:lang w:val="ru-RU" w:eastAsia="zh-CN" w:bidi="ar-SA"/>
    </w:rPr>
  </w:style>
  <w:style w:type="paragraph" w:styleId="724">
    <w:name w:val="ConsPlusNormal"/>
    <w:next w:val="724"/>
    <w:link w:val="643"/>
    <w:pPr>
      <w:ind w:firstLine="720"/>
      <w:widowControl w:val="off"/>
    </w:pPr>
    <w:rPr>
      <w:rFonts w:ascii="Arial" w:hAnsi="Arial" w:cs="Arial"/>
      <w:lang w:val="ru-RU" w:eastAsia="zh-CN" w:bidi="ar-SA"/>
    </w:rPr>
  </w:style>
  <w:style w:type="paragraph" w:styleId="725">
    <w:name w:val="infoextnormal"/>
    <w:basedOn w:val="643"/>
    <w:next w:val="725"/>
    <w:link w:val="643"/>
    <w:pPr>
      <w:spacing w:before="280" w:after="280"/>
    </w:pPr>
  </w:style>
  <w:style w:type="paragraph" w:styleId="726">
    <w:name w:val="Маркированный список 21"/>
    <w:basedOn w:val="643"/>
    <w:next w:val="726"/>
    <w:link w:val="643"/>
    <w:pPr>
      <w:ind w:left="0" w:right="0" w:firstLine="720"/>
      <w:jc w:val="both"/>
    </w:pPr>
    <w:rPr>
      <w:sz w:val="28"/>
    </w:rPr>
  </w:style>
  <w:style w:type="paragraph" w:styleId="727">
    <w:name w:val="Основной текст с отступом 21"/>
    <w:basedOn w:val="643"/>
    <w:next w:val="727"/>
    <w:link w:val="643"/>
    <w:pPr>
      <w:ind w:left="0" w:right="0" w:firstLine="485"/>
      <w:jc w:val="both"/>
      <w:widowControl w:val="off"/>
    </w:pPr>
    <w:rPr>
      <w:rFonts w:cs="Arial"/>
      <w:b/>
      <w:bCs/>
      <w:color w:val="000000"/>
      <w:sz w:val="28"/>
      <w:szCs w:val="22"/>
    </w:rPr>
  </w:style>
  <w:style w:type="paragraph" w:styleId="728">
    <w:name w:val="Основной текст 21"/>
    <w:basedOn w:val="643"/>
    <w:next w:val="728"/>
    <w:link w:val="643"/>
    <w:pPr>
      <w:spacing w:before="0" w:after="120" w:line="480" w:lineRule="auto"/>
    </w:pPr>
  </w:style>
  <w:style w:type="paragraph" w:styleId="729">
    <w:name w:val="Дата1"/>
    <w:basedOn w:val="643"/>
    <w:next w:val="643"/>
    <w:link w:val="643"/>
  </w:style>
  <w:style w:type="paragraph" w:styleId="730">
    <w:name w:val="Цитата1"/>
    <w:basedOn w:val="643"/>
    <w:next w:val="730"/>
    <w:link w:val="643"/>
    <w:pPr>
      <w:ind w:left="-72" w:right="-108" w:firstLine="36"/>
      <w:jc w:val="center"/>
    </w:pPr>
  </w:style>
  <w:style w:type="paragraph" w:styleId="731">
    <w:name w:val="Основной текст 31"/>
    <w:basedOn w:val="643"/>
    <w:next w:val="731"/>
    <w:link w:val="643"/>
    <w:pPr>
      <w:spacing w:before="0" w:after="120"/>
    </w:pPr>
    <w:rPr>
      <w:sz w:val="16"/>
      <w:szCs w:val="16"/>
    </w:rPr>
  </w:style>
  <w:style w:type="paragraph" w:styleId="732">
    <w:name w:val="Нижний колонтитул"/>
    <w:basedOn w:val="643"/>
    <w:next w:val="732"/>
    <w:link w:val="643"/>
  </w:style>
  <w:style w:type="paragraph" w:styleId="733">
    <w:name w:val="Текст выноски"/>
    <w:basedOn w:val="643"/>
    <w:next w:val="733"/>
    <w:link w:val="643"/>
    <w:rPr>
      <w:rFonts w:ascii="Tahoma" w:hAnsi="Tahoma" w:cs="Tahoma"/>
      <w:sz w:val="16"/>
      <w:szCs w:val="16"/>
      <w:lang w:val="en-US"/>
    </w:rPr>
  </w:style>
  <w:style w:type="paragraph" w:styleId="734">
    <w:name w:val="1"/>
    <w:basedOn w:val="643"/>
    <w:next w:val="734"/>
    <w:link w:val="643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735">
    <w:name w:val="ConsPlusNonformat"/>
    <w:next w:val="735"/>
    <w:link w:val="643"/>
    <w:pPr>
      <w:widowControl w:val="off"/>
    </w:pPr>
    <w:rPr>
      <w:rFonts w:ascii="Courier New" w:hAnsi="Courier New" w:cs="Courier New"/>
      <w:lang w:val="ru-RU" w:eastAsia="zh-CN" w:bidi="ar-SA"/>
    </w:rPr>
  </w:style>
  <w:style w:type="paragraph" w:styleId="736">
    <w:name w:val="Default"/>
    <w:next w:val="736"/>
    <w:link w:val="643"/>
    <w:rPr>
      <w:color w:val="000000"/>
      <w:sz w:val="24"/>
      <w:szCs w:val="24"/>
      <w:lang w:val="ru-RU" w:eastAsia="zh-CN" w:bidi="ar-SA"/>
    </w:rPr>
  </w:style>
  <w:style w:type="paragraph" w:styleId="737">
    <w:name w:val="rteindent1"/>
    <w:basedOn w:val="643"/>
    <w:next w:val="737"/>
    <w:link w:val="643"/>
    <w:pPr>
      <w:ind w:left="600" w:right="0" w:firstLine="0"/>
      <w:spacing w:before="120" w:after="216"/>
    </w:pPr>
  </w:style>
  <w:style w:type="paragraph" w:styleId="738">
    <w:name w:val="Схема документа1"/>
    <w:basedOn w:val="643"/>
    <w:next w:val="738"/>
    <w:link w:val="64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739">
    <w:name w:val="Основной текст (2)"/>
    <w:basedOn w:val="643"/>
    <w:next w:val="739"/>
    <w:link w:val="643"/>
    <w:pPr>
      <w:spacing w:line="324" w:lineRule="exact"/>
      <w:shd w:val="clear" w:color="auto" w:fill="ffffff"/>
      <w:widowControl w:val="off"/>
    </w:pPr>
    <w:rPr>
      <w:sz w:val="28"/>
      <w:szCs w:val="28"/>
      <w:shd w:val="clear" w:color="auto" w:fill="ffffff"/>
    </w:rPr>
  </w:style>
  <w:style w:type="paragraph" w:styleId="740">
    <w:name w:val="formattext"/>
    <w:basedOn w:val="643"/>
    <w:next w:val="740"/>
    <w:link w:val="643"/>
    <w:pPr>
      <w:spacing w:before="280" w:after="280"/>
    </w:pPr>
  </w:style>
  <w:style w:type="paragraph" w:styleId="741">
    <w:name w:val="Без интервала"/>
    <w:next w:val="741"/>
    <w:link w:val="643"/>
    <w:qFormat/>
    <w:rPr>
      <w:rFonts w:ascii="Calibri" w:hAnsi="Calibri" w:cs="Calibri"/>
      <w:sz w:val="22"/>
      <w:szCs w:val="22"/>
      <w:lang w:val="ru-RU" w:eastAsia="zh-CN" w:bidi="ar-SA"/>
    </w:rPr>
  </w:style>
  <w:style w:type="paragraph" w:styleId="742">
    <w:name w:val="Содержимое таблицы"/>
    <w:basedOn w:val="643"/>
    <w:next w:val="742"/>
    <w:link w:val="643"/>
    <w:pPr>
      <w:widowControl w:val="off"/>
      <w:suppressLineNumbers/>
    </w:pPr>
  </w:style>
  <w:style w:type="paragraph" w:styleId="743">
    <w:name w:val="Заголовок таблицы"/>
    <w:basedOn w:val="742"/>
    <w:next w:val="743"/>
    <w:link w:val="643"/>
    <w:pPr>
      <w:jc w:val="center"/>
      <w:suppressLineNumbers/>
    </w:pPr>
    <w:rPr>
      <w:b/>
      <w:bCs/>
    </w:rPr>
  </w:style>
  <w:style w:type="paragraph" w:styleId="744">
    <w:name w:val="Содержимое врезки"/>
    <w:basedOn w:val="643"/>
    <w:next w:val="744"/>
    <w:link w:val="643"/>
  </w:style>
  <w:style w:type="character" w:styleId="1421" w:default="1">
    <w:name w:val="Default Paragraph Font"/>
    <w:uiPriority w:val="1"/>
    <w:semiHidden/>
    <w:unhideWhenUsed/>
  </w:style>
  <w:style w:type="numbering" w:styleId="1422" w:default="1">
    <w:name w:val="No List"/>
    <w:uiPriority w:val="99"/>
    <w:semiHidden/>
    <w:unhideWhenUsed/>
  </w:style>
  <w:style w:type="table" w:styleId="142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Kanygina_NV</dc:creator>
  <cp:lastModifiedBy>OsipovaAM</cp:lastModifiedBy>
  <cp:revision>3</cp:revision>
  <dcterms:created xsi:type="dcterms:W3CDTF">2026-07-29T11:10:00Z</dcterms:created>
  <dcterms:modified xsi:type="dcterms:W3CDTF">2026-08-26T08:04:36Z</dcterms:modified>
  <cp:version>1048576</cp:version>
</cp:coreProperties>
</file>