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-3" w:firstLine="0"/>
        <w:jc w:val="center"/>
        <w:spacing w:after="4" w:line="259" w:lineRule="auto"/>
        <w:rPr>
          <w:b/>
          <w:bCs/>
          <w:highlight w:val="none"/>
        </w:rPr>
      </w:pPr>
      <w:r>
        <w:rPr>
          <w:b/>
          <w:bCs/>
        </w:rPr>
        <w:t xml:space="preserve">ПОЛОЖЕНИЕ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567" w:right="0" w:hanging="567"/>
        <w:jc w:val="center"/>
        <w:spacing w:after="0" w:afterAutospacing="0" w:line="240" w:lineRule="auto"/>
        <w:rPr>
          <w:b/>
          <w:bCs/>
        </w:rPr>
        <w:suppressLineNumbers w:val="0"/>
      </w:pPr>
      <w:r>
        <w:rPr>
          <w:b/>
          <w:bCs/>
        </w:rPr>
        <w:t xml:space="preserve">об организации и проведении </w:t>
      </w:r>
      <w:r>
        <w:rPr>
          <w:b/>
          <w:bCs/>
        </w:rPr>
        <w:t xml:space="preserve">районного </w:t>
      </w:r>
      <w:r>
        <w:rPr>
          <w:b/>
          <w:bCs/>
        </w:rPr>
        <w:t xml:space="preserve">проекта </w:t>
      </w:r>
      <w:r>
        <w:rPr>
          <w:b/>
          <w:bCs/>
        </w:rPr>
      </w:r>
      <w:r>
        <w:rPr>
          <w:b/>
          <w:bCs/>
        </w:rPr>
      </w:r>
    </w:p>
    <w:p>
      <w:pPr>
        <w:ind w:left="0" w:right="-3"/>
        <w:jc w:val="center"/>
        <w:spacing w:after="4" w:line="259" w:lineRule="auto"/>
        <w:rPr>
          <w:b/>
          <w:bCs/>
        </w:rPr>
      </w:pPr>
      <w:r>
        <w:rPr>
          <w:b/>
          <w:bCs/>
        </w:rPr>
        <w:t xml:space="preserve">«Премия лучших добровольческих практик «Одобрено добром»</w:t>
      </w:r>
      <w:r>
        <w:rPr>
          <w:b/>
          <w:bCs/>
        </w:rPr>
      </w:r>
      <w:r>
        <w:rPr>
          <w:b/>
          <w:bCs/>
        </w:rPr>
      </w:r>
    </w:p>
    <w:p>
      <w:pPr>
        <w:ind w:left="0" w:right="-143" w:firstLine="0"/>
        <w:jc w:val="center"/>
        <w:spacing w:after="60" w:line="259" w:lineRule="auto"/>
      </w:pPr>
      <w:r>
        <w:t xml:space="preserve"> </w:t>
      </w:r>
      <w:r/>
    </w:p>
    <w:p>
      <w:pPr>
        <w:pStyle w:val="766"/>
        <w:ind w:left="0" w:right="-3"/>
      </w:pPr>
      <w:r>
        <w:t xml:space="preserve">1. Общие положения </w:t>
      </w:r>
      <w:r/>
    </w:p>
    <w:p>
      <w:pPr>
        <w:contextualSpacing/>
        <w:ind w:left="10" w:right="-3" w:firstLine="699"/>
      </w:pPr>
      <w:r>
        <w:rPr>
          <w:szCs w:val="28"/>
        </w:rPr>
        <w:t xml:space="preserve">1.1. Настоящее Положение определяет цели, задачи, сроки, порядок организации и проведения </w:t>
      </w:r>
      <w:r>
        <w:rPr>
          <w:szCs w:val="28"/>
        </w:rPr>
        <w:t xml:space="preserve">р</w:t>
      </w:r>
      <w:r>
        <w:rPr>
          <w:szCs w:val="28"/>
        </w:rPr>
        <w:t xml:space="preserve">айонн</w:t>
      </w:r>
      <w:r>
        <w:rPr>
          <w:szCs w:val="28"/>
        </w:rPr>
        <w:t xml:space="preserve">ого</w:t>
      </w:r>
      <w:r>
        <w:rPr>
          <w:szCs w:val="28"/>
        </w:rPr>
        <w:t xml:space="preserve"> проект</w:t>
      </w:r>
      <w:r>
        <w:rPr>
          <w:szCs w:val="28"/>
        </w:rPr>
        <w:t xml:space="preserve">а</w:t>
      </w:r>
      <w:r>
        <w:rPr>
          <w:szCs w:val="28"/>
        </w:rPr>
        <w:t xml:space="preserve"> «Премия лучших добровольческих практик «Одобрено добром»</w:t>
      </w:r>
      <w:r>
        <w:rPr>
          <w:szCs w:val="28"/>
        </w:rPr>
        <w:t xml:space="preserve"> (далее – Премия), условия участия, основные номинации, категории участников.</w:t>
      </w:r>
      <w:r/>
    </w:p>
    <w:p>
      <w:pPr>
        <w:contextualSpacing/>
        <w:ind w:left="0" w:right="0" w:firstLine="709"/>
        <w:spacing w:after="0" w:afterAutospacing="0" w:line="240" w:lineRule="auto"/>
        <w:suppressLineNumbers w:val="0"/>
      </w:pPr>
      <w:r>
        <w:rPr>
          <w:szCs w:val="28"/>
        </w:rPr>
        <w:t xml:space="preserve">1.2.</w:t>
      </w:r>
      <w:r>
        <w:rPr>
          <w:szCs w:val="28"/>
        </w:rPr>
        <w:tab/>
        <w:t xml:space="preserve">Организаторами Премии являются управление молодёжной политики и</w:t>
      </w:r>
      <w:r>
        <w:rPr>
          <w:szCs w:val="28"/>
        </w:rPr>
        <w:t xml:space="preserve"> </w:t>
      </w:r>
      <w:r>
        <w:rPr>
          <w:szCs w:val="28"/>
        </w:rPr>
        <w:t xml:space="preserve">реализации социальных инициатив</w:t>
      </w:r>
      <w:r>
        <w:rPr>
          <w:szCs w:val="28"/>
        </w:rPr>
        <w:t xml:space="preserve"> администрации</w:t>
      </w:r>
      <w:r>
        <w:rPr>
          <w:szCs w:val="28"/>
        </w:rPr>
        <w:t xml:space="preserve"> Сургутского района, муниципальное автономное учреждение </w:t>
      </w:r>
      <w:r>
        <w:rPr>
          <w:szCs w:val="28"/>
        </w:rPr>
        <w:t xml:space="preserve">Сургутского </w:t>
      </w:r>
      <w:r>
        <w:rPr>
          <w:szCs w:val="28"/>
        </w:rPr>
        <w:t xml:space="preserve">района «Районный молодёжный центр» (далее – МАУ «РМЦ»), автономная некоммерческая организация «Центр развития добровольчества Сургутского района «Добрый район».</w:t>
      </w:r>
      <w:r/>
    </w:p>
    <w:p>
      <w:pPr>
        <w:ind w:left="0" w:right="0" w:firstLine="0"/>
        <w:jc w:val="left"/>
        <w:spacing w:after="36" w:line="259" w:lineRule="auto"/>
      </w:pPr>
      <w:r>
        <w:t xml:space="preserve"> </w:t>
      </w:r>
      <w:r/>
    </w:p>
    <w:p>
      <w:pPr>
        <w:pStyle w:val="766"/>
        <w:ind w:left="0"/>
      </w:pPr>
      <w:r>
        <w:t xml:space="preserve">2. Цели и задачи Премии</w:t>
      </w:r>
      <w:r/>
    </w:p>
    <w:p>
      <w:pPr>
        <w:numPr>
          <w:ilvl w:val="1"/>
          <w:numId w:val="21"/>
        </w:numPr>
        <w:contextualSpacing/>
        <w:ind w:left="0" w:right="-2" w:firstLine="709"/>
        <w:rPr>
          <w:rFonts w:eastAsia="Calibri"/>
          <w:b/>
          <w:szCs w:val="28"/>
          <w:lang w:eastAsia="en-US"/>
        </w:rPr>
      </w:pPr>
      <w:r>
        <w:rPr>
          <w:szCs w:val="28"/>
          <w:lang w:eastAsia="en-US"/>
        </w:rPr>
        <w:t xml:space="preserve">Целью Премии является </w:t>
      </w:r>
      <w:r>
        <w:rPr>
          <w:szCs w:val="28"/>
        </w:rPr>
        <w:t xml:space="preserve">признание опыта и достижений в сфере добровольческой</w:t>
      </w:r>
      <w:r>
        <w:rPr>
          <w:szCs w:val="28"/>
        </w:rPr>
        <w:t xml:space="preserve"> (волонтёрской) деятельности, осуществляемой на территории Сургутского района, для их дальнейшей популяризации путём продвижения информационных материалов об объединениях добровольческого сообщества Сургутского района в группе МАУ «РМЦ» в социальной сети «</w:t>
      </w:r>
      <w:r>
        <w:rPr>
          <w:szCs w:val="28"/>
        </w:rPr>
        <w:t xml:space="preserve">Вконтакте</w:t>
      </w:r>
      <w:r>
        <w:rPr>
          <w:szCs w:val="28"/>
        </w:rPr>
        <w:t xml:space="preserve">».</w:t>
      </w:r>
      <w:r>
        <w:rPr>
          <w:rFonts w:eastAsia="Calibri"/>
          <w:b/>
          <w:szCs w:val="28"/>
          <w:lang w:eastAsia="en-US"/>
        </w:rPr>
      </w:r>
      <w:r>
        <w:rPr>
          <w:rFonts w:eastAsia="Calibri"/>
          <w:b/>
          <w:szCs w:val="28"/>
          <w:lang w:eastAsia="en-US"/>
        </w:rPr>
      </w:r>
    </w:p>
    <w:p>
      <w:pPr>
        <w:numPr>
          <w:ilvl w:val="1"/>
          <w:numId w:val="21"/>
        </w:numPr>
        <w:contextualSpacing/>
        <w:ind w:left="0" w:right="-2" w:firstLine="709"/>
        <w:spacing w:after="0" w:afterAutospacing="0" w:line="240" w:lineRule="auto"/>
        <w:rPr>
          <w:rFonts w:eastAsia="Calibri"/>
          <w:b/>
          <w:szCs w:val="28"/>
          <w:lang w:eastAsia="en-US"/>
        </w:rPr>
        <w:suppressLineNumbers w:val="0"/>
      </w:pPr>
      <w:r>
        <w:rPr>
          <w:szCs w:val="28"/>
          <w:lang w:eastAsia="en-US"/>
        </w:rPr>
        <w:t xml:space="preserve">Задачи Премии:</w:t>
      </w:r>
      <w:r>
        <w:rPr>
          <w:rFonts w:eastAsia="Calibri"/>
          <w:b/>
          <w:szCs w:val="28"/>
          <w:lang w:eastAsia="en-US"/>
        </w:rPr>
      </w:r>
      <w:r>
        <w:rPr>
          <w:rFonts w:eastAsia="Calibri"/>
          <w:b/>
          <w:szCs w:val="28"/>
          <w:lang w:eastAsia="en-US"/>
        </w:rPr>
      </w:r>
    </w:p>
    <w:p>
      <w:pPr>
        <w:numPr>
          <w:ilvl w:val="2"/>
          <w:numId w:val="21"/>
        </w:numPr>
        <w:contextualSpacing/>
        <w:ind w:left="0" w:right="-2" w:firstLine="709"/>
        <w:widowControl w:val="off"/>
        <w:rPr>
          <w:szCs w:val="28"/>
          <w:lang w:eastAsia="en-US"/>
        </w:rPr>
      </w:pPr>
      <w:r>
        <w:rPr>
          <w:szCs w:val="28"/>
        </w:rPr>
        <w:t xml:space="preserve">Выявить наиболее успешные добровольческие (волонтёрские) практики, реализуемые на территории Сургутского района</w:t>
      </w:r>
      <w:r>
        <w:rPr>
          <w:szCs w:val="28"/>
          <w:lang w:eastAsia="en-US"/>
        </w:rPr>
        <w:t xml:space="preserve">;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numPr>
          <w:ilvl w:val="2"/>
          <w:numId w:val="21"/>
        </w:numPr>
        <w:contextualSpacing/>
        <w:ind w:left="0" w:right="-2" w:firstLine="709"/>
        <w:widowControl w:val="off"/>
        <w:rPr>
          <w:szCs w:val="28"/>
          <w:lang w:eastAsia="en-US"/>
        </w:rPr>
      </w:pPr>
      <w:r>
        <w:rPr>
          <w:szCs w:val="28"/>
          <w:lang w:eastAsia="en-US"/>
        </w:rPr>
        <w:t xml:space="preserve">Информировать </w:t>
      </w:r>
      <w:r>
        <w:rPr>
          <w:szCs w:val="28"/>
        </w:rPr>
        <w:t xml:space="preserve">ж</w:t>
      </w:r>
      <w:r>
        <w:rPr>
          <w:szCs w:val="28"/>
          <w:lang w:eastAsia="en-US"/>
        </w:rPr>
        <w:t xml:space="preserve">ителей Сургутского района о направлениях добровольческой деятельности, осуществляемой представителями районного добровольческого кластера и актуальных добровольческих (волонтёрских) практиках;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numPr>
          <w:ilvl w:val="2"/>
          <w:numId w:val="21"/>
        </w:numPr>
        <w:contextualSpacing/>
        <w:ind w:left="0" w:right="-2" w:firstLine="709"/>
        <w:widowControl w:val="off"/>
        <w:rPr>
          <w:szCs w:val="28"/>
          <w:lang w:eastAsia="en-US"/>
        </w:rPr>
      </w:pPr>
      <w:r>
        <w:rPr>
          <w:szCs w:val="28"/>
        </w:rPr>
        <w:t xml:space="preserve">Оказать медийную поддержку представленным к участию в Премии практикам социально-ориентированной деятельности и добровольчества (</w:t>
      </w:r>
      <w:r>
        <w:rPr>
          <w:szCs w:val="28"/>
        </w:rPr>
        <w:t xml:space="preserve">волонтёрства</w:t>
      </w:r>
      <w:r>
        <w:rPr>
          <w:szCs w:val="28"/>
        </w:rPr>
        <w:t xml:space="preserve">) в Сургутском районе;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numPr>
          <w:ilvl w:val="2"/>
          <w:numId w:val="21"/>
        </w:numPr>
        <w:contextualSpacing/>
        <w:ind w:left="0" w:right="-2" w:firstLine="709"/>
        <w:widowControl w:val="off"/>
        <w:rPr>
          <w:szCs w:val="28"/>
          <w:lang w:eastAsia="en-US"/>
        </w:rPr>
      </w:pPr>
      <w:r>
        <w:rPr>
          <w:szCs w:val="28"/>
        </w:rPr>
        <w:t xml:space="preserve">Повысить привлекательность добровольческого движения в Сургутском районе и увеличение численности представителей районного добровольческого сообщества за счёт использования знака качества «Добрый район».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ind w:left="0" w:right="0" w:firstLine="0"/>
        <w:jc w:val="left"/>
        <w:spacing w:after="36" w:line="259" w:lineRule="auto"/>
      </w:pPr>
      <w:r/>
      <w:r/>
    </w:p>
    <w:p>
      <w:pPr>
        <w:pStyle w:val="766"/>
        <w:ind w:left="0"/>
      </w:pPr>
      <w:r>
        <w:t xml:space="preserve">3. Оргкомитет </w:t>
      </w:r>
      <w:r>
        <w:t xml:space="preserve">Премии</w:t>
      </w:r>
      <w:r>
        <w:t xml:space="preserve"> </w:t>
      </w:r>
      <w:r/>
    </w:p>
    <w:p>
      <w:pPr>
        <w:ind w:left="-15" w:right="0" w:firstLine="724"/>
      </w:pPr>
      <w:r>
        <w:t xml:space="preserve">3.1.</w:t>
      </w:r>
      <w:r>
        <w:tab/>
        <w:t xml:space="preserve">Общее руководство подготовкой и проведением Премии осуществляет Оргкомитет Премии (далее – Оргкомитет).</w:t>
      </w:r>
      <w:r/>
    </w:p>
    <w:p>
      <w:pPr>
        <w:ind w:left="-15" w:right="0" w:firstLine="724"/>
      </w:pPr>
      <w:r>
        <w:t xml:space="preserve">3.2.</w:t>
      </w:r>
      <w:r>
        <w:tab/>
        <w:t xml:space="preserve">Оргкомитет осуществляет следующие функции:</w:t>
      </w:r>
      <w:r/>
    </w:p>
    <w:p>
      <w:pPr>
        <w:ind w:left="-15" w:right="0" w:firstLine="724"/>
      </w:pPr>
      <w:r>
        <w:t xml:space="preserve">3.2.1.</w:t>
      </w:r>
      <w:r>
        <w:tab/>
        <w:t xml:space="preserve">Утверждает формат мероприятий Премии;</w:t>
      </w:r>
      <w:r/>
    </w:p>
    <w:p>
      <w:pPr>
        <w:ind w:left="-15" w:right="0" w:firstLine="724"/>
      </w:pPr>
      <w:r>
        <w:t xml:space="preserve">3.2.2.</w:t>
      </w:r>
      <w:r>
        <w:tab/>
        <w:t xml:space="preserve"> Формирует список участников Премии исходя из направленных заявок;</w:t>
      </w:r>
      <w:r/>
    </w:p>
    <w:p>
      <w:pPr>
        <w:ind w:left="-15" w:right="0" w:firstLine="724"/>
      </w:pPr>
      <w:r>
        <w:t xml:space="preserve">3.2.3.</w:t>
      </w:r>
      <w:r>
        <w:tab/>
        <w:t xml:space="preserve">Устанавливает систему оценки определения </w:t>
      </w:r>
      <w:r>
        <w:t xml:space="preserve">номинантов</w:t>
      </w:r>
      <w:r>
        <w:t xml:space="preserve"> Премии, подводит итоги;</w:t>
      </w:r>
      <w:r/>
    </w:p>
    <w:p>
      <w:pPr>
        <w:ind w:left="-15" w:right="0" w:firstLine="724"/>
      </w:pPr>
      <w:r>
        <w:t xml:space="preserve">3.2.4.</w:t>
      </w:r>
      <w:r>
        <w:tab/>
        <w:t xml:space="preserve">Номинантов Премии оценивает Экспертный совет (Приложение 1) по</w:t>
      </w:r>
      <w:r>
        <w:t xml:space="preserve"> </w:t>
      </w:r>
      <w:r>
        <w:t xml:space="preserve">указанным в настоящем Положении критериям, используя оценочную ведомость для выставления баллов номинантам (Приложение 2);</w:t>
      </w:r>
      <w:r/>
    </w:p>
    <w:p>
      <w:pPr>
        <w:ind w:left="-15" w:right="0" w:firstLine="724"/>
      </w:pPr>
      <w:r>
        <w:t xml:space="preserve">3.2.5.</w:t>
      </w:r>
      <w:r>
        <w:tab/>
        <w:t xml:space="preserve">Решает общие вопросы организации и проведения Премии;</w:t>
      </w:r>
      <w:r/>
    </w:p>
    <w:p>
      <w:pPr>
        <w:ind w:left="-15" w:right="0" w:firstLine="724"/>
      </w:pPr>
      <w:r>
        <w:t xml:space="preserve">3.2.6.</w:t>
      </w:r>
      <w:r>
        <w:tab/>
        <w:t xml:space="preserve">Готовит материалы для освещения мероприятий Премии в средствах массовой информации и в сети Интернет;</w:t>
      </w:r>
      <w:r/>
    </w:p>
    <w:p>
      <w:pPr>
        <w:ind w:left="-15" w:right="0" w:firstLine="724"/>
      </w:pPr>
      <w:r>
        <w:t xml:space="preserve">3.2.7.</w:t>
      </w:r>
      <w:r>
        <w:tab/>
        <w:t xml:space="preserve">Выполняет иные работы, связанные с реализацией Премии.</w:t>
      </w:r>
      <w:r/>
    </w:p>
    <w:p>
      <w:pPr>
        <w:ind w:left="-15" w:right="0" w:firstLine="724"/>
      </w:pPr>
      <w:r>
        <w:t xml:space="preserve">3.3. Оргкомитет имеет право:</w:t>
      </w:r>
      <w:r/>
    </w:p>
    <w:p>
      <w:pPr>
        <w:ind w:left="-15" w:right="0" w:firstLine="724"/>
      </w:pPr>
      <w:r>
        <w:t xml:space="preserve">3.3.1.</w:t>
      </w:r>
      <w:r>
        <w:tab/>
        <w:t xml:space="preserve">Привлекать партнёров к организации и проведению мероприятий Премии;</w:t>
      </w:r>
      <w:r/>
    </w:p>
    <w:p>
      <w:pPr>
        <w:ind w:left="-15" w:right="0" w:firstLine="724"/>
      </w:pPr>
      <w:r>
        <w:t xml:space="preserve">3.3.2.</w:t>
      </w:r>
      <w:r>
        <w:tab/>
        <w:t xml:space="preserve">Вносить изменения в настоящее Положение.</w:t>
      </w:r>
      <w:r/>
    </w:p>
    <w:p>
      <w:pPr>
        <w:ind w:left="850" w:right="0" w:firstLine="0"/>
        <w:jc w:val="left"/>
        <w:spacing w:after="32" w:line="259" w:lineRule="auto"/>
      </w:pPr>
      <w:r>
        <w:rPr>
          <w:b/>
        </w:rPr>
        <w:t xml:space="preserve"> </w:t>
      </w:r>
      <w:r/>
    </w:p>
    <w:p>
      <w:pPr>
        <w:ind w:left="0" w:right="0"/>
        <w:jc w:val="center"/>
      </w:pPr>
      <w:r>
        <w:rPr>
          <w:b/>
        </w:rPr>
        <w:t xml:space="preserve">4. Сроки, место проведения, условия участия в Премии</w:t>
      </w:r>
      <w:r/>
    </w:p>
    <w:p>
      <w:pPr>
        <w:ind w:right="0" w:firstLine="699"/>
        <w:tabs>
          <w:tab w:val="left" w:pos="10" w:leader="none"/>
        </w:tabs>
      </w:pPr>
      <w:r>
        <w:rPr>
          <w:szCs w:val="28"/>
        </w:rPr>
        <w:t xml:space="preserve">4.1 Сроки проведения Премии: с </w:t>
      </w:r>
      <w:r>
        <w:rPr>
          <w:szCs w:val="28"/>
        </w:rPr>
        <w:t xml:space="preserve">14</w:t>
      </w:r>
      <w:r>
        <w:rPr>
          <w:szCs w:val="28"/>
        </w:rPr>
        <w:t xml:space="preserve"> </w:t>
      </w:r>
      <w:r>
        <w:rPr>
          <w:szCs w:val="28"/>
        </w:rPr>
        <w:t xml:space="preserve">сентя</w:t>
      </w:r>
      <w:r>
        <w:rPr>
          <w:szCs w:val="28"/>
        </w:rPr>
        <w:t xml:space="preserve">бря по </w:t>
      </w:r>
      <w:r>
        <w:rPr>
          <w:szCs w:val="28"/>
        </w:rPr>
        <w:t xml:space="preserve">12</w:t>
      </w:r>
      <w:r>
        <w:rPr>
          <w:szCs w:val="28"/>
        </w:rPr>
        <w:t xml:space="preserve"> декабря 202</w:t>
      </w:r>
      <w:r>
        <w:rPr>
          <w:szCs w:val="28"/>
        </w:rPr>
        <w:t xml:space="preserve">6</w:t>
      </w:r>
      <w:r>
        <w:rPr>
          <w:szCs w:val="28"/>
        </w:rPr>
        <w:t xml:space="preserve"> года.</w:t>
      </w:r>
      <w:r/>
    </w:p>
    <w:p>
      <w:pPr>
        <w:ind w:right="0" w:firstLine="699"/>
        <w:tabs>
          <w:tab w:val="left" w:pos="10" w:leader="none"/>
        </w:tabs>
      </w:pPr>
      <w:r>
        <w:rPr>
          <w:szCs w:val="28"/>
        </w:rPr>
        <w:t xml:space="preserve">4.2. Премия проходит в три этапа:</w:t>
      </w:r>
      <w:r/>
    </w:p>
    <w:p>
      <w:pPr>
        <w:pStyle w:val="945"/>
        <w:numPr>
          <w:ilvl w:val="0"/>
          <w:numId w:val="29"/>
        </w:numPr>
        <w:ind w:left="0" w:right="0" w:firstLine="709"/>
        <w:tabs>
          <w:tab w:val="left" w:pos="10" w:leader="none"/>
        </w:tabs>
      </w:pPr>
      <w:r>
        <w:rPr>
          <w:szCs w:val="28"/>
        </w:rPr>
        <w:t xml:space="preserve"> Заявочный этап: с </w:t>
      </w:r>
      <w:r>
        <w:rPr>
          <w:szCs w:val="28"/>
        </w:rPr>
        <w:t xml:space="preserve">14 сентября по </w:t>
      </w:r>
      <w:r>
        <w:rPr>
          <w:szCs w:val="28"/>
        </w:rPr>
        <w:t xml:space="preserve">15 </w:t>
      </w:r>
      <w:r>
        <w:rPr>
          <w:szCs w:val="28"/>
        </w:rPr>
        <w:t xml:space="preserve">октября</w:t>
      </w:r>
      <w:r>
        <w:rPr>
          <w:szCs w:val="28"/>
        </w:rPr>
        <w:t xml:space="preserve"> 202</w:t>
      </w:r>
      <w:r>
        <w:rPr>
          <w:szCs w:val="28"/>
        </w:rPr>
        <w:t xml:space="preserve">6</w:t>
      </w:r>
      <w:r>
        <w:rPr>
          <w:szCs w:val="28"/>
        </w:rPr>
        <w:t xml:space="preserve"> года.</w:t>
      </w:r>
      <w:r/>
    </w:p>
    <w:p>
      <w:pPr>
        <w:ind w:right="0" w:firstLine="699"/>
        <w:tabs>
          <w:tab w:val="left" w:pos="10" w:leader="none"/>
        </w:tabs>
      </w:pPr>
      <w:r>
        <w:rPr>
          <w:szCs w:val="28"/>
        </w:rPr>
        <w:t xml:space="preserve">Заявочный этап включает направление информационных материалов – заявка на участие (Приложение 3), согласие на обработку персональных данных (Приложение</w:t>
      </w:r>
      <w:r>
        <w:rPr>
          <w:szCs w:val="28"/>
        </w:rPr>
        <w:t xml:space="preserve"> 4) и видеоролик о добровольческих практиках номинантов Премии, демонстрирующий реализацию и результаты конкретного добровольческого проекта или инициативы, согласно требованиям (Приложение 5), на адрес электронной почты: rmc-mp@mail.ru с пометкой «ПРЕМИЯ»</w:t>
      </w:r>
      <w:r>
        <w:rPr>
          <w:szCs w:val="28"/>
        </w:rPr>
        <w:t xml:space="preserve">.</w:t>
      </w:r>
      <w:r/>
    </w:p>
    <w:p>
      <w:pPr>
        <w:pStyle w:val="945"/>
        <w:numPr>
          <w:ilvl w:val="0"/>
          <w:numId w:val="28"/>
        </w:numPr>
        <w:ind w:left="0" w:right="0" w:firstLine="709"/>
        <w:tabs>
          <w:tab w:val="left" w:pos="10" w:leader="none"/>
        </w:tabs>
      </w:pPr>
      <w:r>
        <w:rPr>
          <w:szCs w:val="28"/>
        </w:rPr>
        <w:t xml:space="preserve">Экспертиза материалов, предоставленных номинантами Премии: с </w:t>
      </w:r>
      <w:r>
        <w:rPr>
          <w:szCs w:val="28"/>
        </w:rPr>
        <w:t xml:space="preserve">16</w:t>
      </w:r>
      <w:r>
        <w:rPr>
          <w:szCs w:val="28"/>
        </w:rPr>
        <w:t xml:space="preserve"> </w:t>
      </w:r>
      <w:r>
        <w:rPr>
          <w:szCs w:val="28"/>
        </w:rPr>
        <w:t xml:space="preserve">октября</w:t>
      </w:r>
      <w:r>
        <w:rPr>
          <w:szCs w:val="28"/>
        </w:rPr>
        <w:t xml:space="preserve"> по </w:t>
      </w:r>
      <w:r>
        <w:rPr>
          <w:szCs w:val="28"/>
        </w:rPr>
        <w:t xml:space="preserve">1</w:t>
      </w:r>
      <w:r>
        <w:rPr>
          <w:szCs w:val="28"/>
        </w:rPr>
        <w:t xml:space="preserve">5 </w:t>
      </w:r>
      <w:r>
        <w:rPr>
          <w:szCs w:val="28"/>
        </w:rPr>
        <w:t xml:space="preserve">ноя</w:t>
      </w:r>
      <w:r>
        <w:rPr>
          <w:szCs w:val="28"/>
        </w:rPr>
        <w:t xml:space="preserve">бря 202</w:t>
      </w:r>
      <w:r>
        <w:rPr>
          <w:szCs w:val="28"/>
        </w:rPr>
        <w:t xml:space="preserve">6</w:t>
      </w:r>
      <w:r>
        <w:rPr>
          <w:szCs w:val="28"/>
        </w:rPr>
        <w:t xml:space="preserve"> года.</w:t>
      </w:r>
      <w:r>
        <w:rPr>
          <w:szCs w:val="28"/>
        </w:rPr>
        <w:t xml:space="preserve"> </w:t>
      </w:r>
      <w:r/>
    </w:p>
    <w:p>
      <w:pPr>
        <w:ind w:left="0" w:right="0" w:firstLine="709"/>
        <w:tabs>
          <w:tab w:val="left" w:pos="10" w:leader="none"/>
        </w:tabs>
      </w:pPr>
      <w:r>
        <w:rPr>
          <w:szCs w:val="28"/>
        </w:rPr>
        <w:t xml:space="preserve">Экспертиза также включает защиту добровольческих практик в формате ВКС. </w:t>
      </w:r>
      <w:r>
        <w:rPr>
          <w:szCs w:val="28"/>
        </w:rPr>
        <w:t xml:space="preserve">Дата проведения защиты добровольческих практик сообщается Оргкомитетом дополнительно. </w:t>
      </w:r>
      <w:r/>
    </w:p>
    <w:p>
      <w:pPr>
        <w:pStyle w:val="945"/>
        <w:numPr>
          <w:ilvl w:val="0"/>
          <w:numId w:val="30"/>
        </w:numPr>
        <w:ind w:left="0" w:right="0" w:firstLine="709"/>
        <w:tabs>
          <w:tab w:val="left" w:pos="10" w:leader="none"/>
        </w:tabs>
        <w:rPr>
          <w:highlight w:val="white"/>
        </w:rPr>
      </w:pPr>
      <w:r>
        <w:rPr>
          <w:szCs w:val="28"/>
          <w:highlight w:val="white"/>
        </w:rPr>
        <w:t xml:space="preserve">Подведение итогов Премии с присвоением знака качества «Добрый район»: </w:t>
      </w:r>
      <w:r>
        <w:rPr>
          <w:szCs w:val="28"/>
          <w:highlight w:val="white"/>
        </w:rPr>
        <w:t xml:space="preserve">12</w:t>
      </w:r>
      <w:r>
        <w:rPr>
          <w:szCs w:val="28"/>
          <w:highlight w:val="white"/>
        </w:rPr>
        <w:t xml:space="preserve"> декабря 20</w:t>
      </w:r>
      <w:r>
        <w:rPr>
          <w:szCs w:val="28"/>
          <w:highlight w:val="white"/>
        </w:rPr>
        <w:t xml:space="preserve">26</w:t>
      </w:r>
      <w:r>
        <w:rPr>
          <w:szCs w:val="28"/>
          <w:highlight w:val="white"/>
        </w:rPr>
        <w:t xml:space="preserve"> года на </w:t>
      </w:r>
      <w:r>
        <w:rPr>
          <w:szCs w:val="28"/>
          <w:highlight w:val="white"/>
        </w:rPr>
        <w:t xml:space="preserve">Районн</w:t>
      </w:r>
      <w:r>
        <w:rPr>
          <w:szCs w:val="28"/>
          <w:highlight w:val="white"/>
        </w:rPr>
        <w:t xml:space="preserve">ом</w:t>
      </w:r>
      <w:r>
        <w:rPr>
          <w:szCs w:val="28"/>
          <w:highlight w:val="white"/>
        </w:rPr>
        <w:t xml:space="preserve"> фестивал</w:t>
      </w:r>
      <w:r>
        <w:rPr>
          <w:szCs w:val="28"/>
          <w:highlight w:val="white"/>
        </w:rPr>
        <w:t xml:space="preserve">е</w:t>
      </w:r>
      <w:r>
        <w:rPr>
          <w:szCs w:val="28"/>
          <w:highlight w:val="white"/>
        </w:rPr>
        <w:t xml:space="preserve"> «Добрый район»</w:t>
      </w:r>
      <w:r>
        <w:rPr>
          <w:szCs w:val="28"/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tabs>
          <w:tab w:val="left" w:pos="10" w:leader="none"/>
        </w:tabs>
        <w:rPr>
          <w:color w:val="000000" w:themeColor="text1"/>
          <w:highlight w:val="none"/>
        </w:rPr>
      </w:pPr>
      <w:r>
        <w:rPr>
          <w:szCs w:val="28"/>
        </w:rPr>
        <w:t xml:space="preserve">Публикация итогов Премии происходит в группе МАУ «РМЦ» в социальной сети «</w:t>
      </w:r>
      <w:r>
        <w:rPr>
          <w:szCs w:val="28"/>
        </w:rPr>
        <w:t xml:space="preserve">Вконтакте</w:t>
      </w:r>
      <w:r>
        <w:rPr>
          <w:szCs w:val="28"/>
        </w:rPr>
        <w:t xml:space="preserve">» с</w:t>
      </w:r>
      <w:r>
        <w:rPr>
          <w:szCs w:val="28"/>
        </w:rPr>
        <w:t xml:space="preserve"> </w:t>
      </w:r>
      <w:r>
        <w:rPr>
          <w:szCs w:val="28"/>
        </w:rPr>
        <w:t xml:space="preserve">направлением подтверждающих материалов участникам.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0"/>
        <w:tabs>
          <w:tab w:val="left" w:pos="10" w:leader="none"/>
        </w:tabs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0"/>
        <w:tabs>
          <w:tab w:val="left" w:pos="10" w:leader="none"/>
        </w:tabs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850" w:right="0" w:firstLine="0"/>
        <w:jc w:val="left"/>
        <w:spacing w:after="36" w:line="259" w:lineRule="auto"/>
      </w:pPr>
      <w:r>
        <w:t xml:space="preserve"> </w:t>
      </w:r>
      <w:r/>
    </w:p>
    <w:p>
      <w:pPr>
        <w:pStyle w:val="766"/>
        <w:ind w:left="0"/>
      </w:pPr>
      <w:r>
        <w:t xml:space="preserve">5. Участники Премии</w:t>
      </w:r>
      <w:r/>
    </w:p>
    <w:p>
      <w:pPr>
        <w:ind w:right="0" w:firstLine="709"/>
      </w:pPr>
      <w:r>
        <w:rPr>
          <w:szCs w:val="28"/>
        </w:rPr>
      </w:r>
      <w:r>
        <w:rPr>
          <w:szCs w:val="28"/>
        </w:rPr>
        <w:t xml:space="preserve">5.1. </w:t>
      </w:r>
      <w:r>
        <w:rPr>
          <w:szCs w:val="28"/>
        </w:rPr>
        <w:t xml:space="preserve">Участниками Премии являются представители районного добровольческого сообщества.</w:t>
      </w:r>
      <w:r/>
    </w:p>
    <w:p>
      <w:pPr>
        <w:ind w:right="0" w:firstLine="709"/>
      </w:pPr>
      <w:r>
        <w:rPr>
          <w:szCs w:val="28"/>
        </w:rPr>
        <w:t xml:space="preserve">5.2.</w:t>
      </w:r>
      <w:r>
        <w:rPr>
          <w:szCs w:val="28"/>
        </w:rPr>
        <w:tab/>
        <w:t xml:space="preserve">Волонтёры, лидеры, руководители и представители добровольческих (волонтёрских) объединений и некоммерческих организаций, сотрудники </w:t>
      </w:r>
      <w:r>
        <w:rPr>
          <w:szCs w:val="28"/>
        </w:rPr>
        <w:t xml:space="preserve">государственных и муниципальных учреждений, коммерческих компаний и</w:t>
      </w:r>
      <w:r>
        <w:rPr>
          <w:szCs w:val="28"/>
        </w:rPr>
        <w:t xml:space="preserve"> </w:t>
      </w:r>
      <w:r>
        <w:rPr>
          <w:szCs w:val="28"/>
        </w:rPr>
        <w:t xml:space="preserve">участники других инициативных групп в возрасте от 14 до 35 лет.</w:t>
      </w:r>
      <w:r/>
    </w:p>
    <w:p>
      <w:pPr>
        <w:ind w:right="0" w:firstLine="709"/>
      </w:pPr>
      <w:r>
        <w:rPr>
          <w:szCs w:val="28"/>
        </w:rPr>
        <w:t xml:space="preserve">5.3.</w:t>
      </w:r>
      <w:r>
        <w:rPr>
          <w:szCs w:val="28"/>
        </w:rPr>
        <w:tab/>
        <w:t xml:space="preserve">Волонтёрские объединения, созданные на базе образовательных организаций, государственных и муниципальных учреждений, а также другие общественные добровольческие (волонтёрские) объединения без образования юридического лица.</w:t>
      </w:r>
      <w:r/>
    </w:p>
    <w:p>
      <w:pPr>
        <w:ind w:right="0" w:firstLine="709"/>
        <w:rPr>
          <w:szCs w:val="28"/>
        </w:rPr>
      </w:pPr>
      <w:r>
        <w:rPr>
          <w:szCs w:val="28"/>
        </w:rPr>
        <w:t xml:space="preserve">5.4.</w:t>
      </w:r>
      <w:r>
        <w:rPr>
          <w:szCs w:val="28"/>
        </w:rPr>
        <w:tab/>
        <w:t xml:space="preserve">Юридические лица – социально ориентированные некоммерческие организации, осуществляющие деятельность по развитию добровольчества (</w:t>
      </w:r>
      <w:r>
        <w:rPr>
          <w:szCs w:val="28"/>
        </w:rPr>
        <w:t xml:space="preserve">волонтёрства</w:t>
      </w:r>
      <w:r>
        <w:rPr>
          <w:szCs w:val="28"/>
        </w:rPr>
        <w:t xml:space="preserve">), а также коммерческие организации, реализующие деятельность, направленную на вовлечение сотрудников организации в социально-значимую деятельность на безвозмездной основе.</w:t>
      </w:r>
      <w:r>
        <w:rPr>
          <w:szCs w:val="28"/>
        </w:rPr>
      </w:r>
      <w:r>
        <w:rPr>
          <w:szCs w:val="28"/>
        </w:rPr>
      </w:r>
    </w:p>
    <w:p>
      <w:pPr>
        <w:ind w:right="0" w:firstLine="709"/>
        <w:spacing w:after="37" w:line="259" w:lineRule="auto"/>
      </w:pPr>
      <w:r>
        <w:t xml:space="preserve"> </w:t>
      </w:r>
      <w:r/>
    </w:p>
    <w:p>
      <w:pPr>
        <w:ind w:left="0" w:right="0"/>
        <w:jc w:val="center"/>
      </w:pPr>
      <w:r>
        <w:rPr>
          <w:b/>
        </w:rPr>
        <w:t xml:space="preserve">6. Номинации Премии</w:t>
      </w:r>
      <w:r/>
    </w:p>
    <w:p>
      <w:pPr>
        <w:ind w:left="0" w:right="0" w:firstLine="709"/>
      </w:pPr>
      <w:r>
        <w:t xml:space="preserve">Премия присуждается в следующих номинациях:</w:t>
      </w:r>
      <w:r/>
    </w:p>
    <w:p>
      <w:pPr>
        <w:ind w:left="0" w:right="0" w:firstLine="709"/>
      </w:pPr>
      <w:r>
        <w:t xml:space="preserve">6.1.</w:t>
      </w:r>
      <w:r>
        <w:tab/>
        <w:t xml:space="preserve">«</w:t>
      </w:r>
      <w:r>
        <w:t xml:space="preserve">Наставник Добра</w:t>
      </w:r>
      <w:r>
        <w:t xml:space="preserve">» – </w:t>
      </w:r>
      <w:r>
        <w:t xml:space="preserve">в номинации принимают участие</w:t>
      </w:r>
      <w:r>
        <w:t xml:space="preserve"> организатор</w:t>
      </w:r>
      <w:r>
        <w:t xml:space="preserve">ы</w:t>
      </w:r>
      <w:r>
        <w:t xml:space="preserve"> и</w:t>
      </w:r>
      <w:r>
        <w:t xml:space="preserve"> </w:t>
      </w:r>
      <w:r>
        <w:t xml:space="preserve">руководител</w:t>
      </w:r>
      <w:r>
        <w:t xml:space="preserve">и</w:t>
      </w:r>
      <w:r>
        <w:t xml:space="preserve"> добровольческих (волонтёрских) объединений, которые курируют и</w:t>
      </w:r>
      <w:r>
        <w:t xml:space="preserve"> </w:t>
      </w:r>
      <w:r>
        <w:t xml:space="preserve">развивают работу добровольцев (волонтеров);</w:t>
      </w:r>
      <w:r/>
    </w:p>
    <w:p>
      <w:pPr>
        <w:ind w:left="0" w:right="0" w:firstLine="709"/>
      </w:pPr>
      <w:r>
        <w:t xml:space="preserve">6.2.</w:t>
      </w:r>
      <w:r>
        <w:tab/>
      </w:r>
      <w:r>
        <w:t xml:space="preserve">«Доброе сердце» – в номинации принимают участие добровольцы (волонтёры), внесшие значительный вклад </w:t>
      </w:r>
      <w:r>
        <w:t xml:space="preserve">в развитие добровольческого движения на территории Сургутского района, проявившие высокую гражданскую активность, лидерские качества, личную инициативу и достигшие значимых результатов в реализации добровольческих проектов и общественно полезных инициатив;</w:t>
      </w:r>
      <w:r/>
    </w:p>
    <w:p>
      <w:pPr>
        <w:ind w:left="0" w:right="0" w:firstLine="709"/>
      </w:pPr>
      <w:r>
        <w:t xml:space="preserve">6.3. </w:t>
      </w:r>
      <w:r>
        <w:t xml:space="preserve">«</w:t>
      </w:r>
      <w:r>
        <w:t xml:space="preserve">Сила команды</w:t>
      </w:r>
      <w:r>
        <w:t xml:space="preserve">» – номинация для добровольческих (волонтёрских) объединени</w:t>
      </w:r>
      <w:r>
        <w:t xml:space="preserve">й</w:t>
      </w:r>
      <w:r>
        <w:t xml:space="preserve">, осуществляющих свою деятельность на базе образовательных организаций или государственных учреждений, принимающие активное участие в реализации социально-значимых проектов, а также в</w:t>
      </w:r>
      <w:r>
        <w:t xml:space="preserve"> </w:t>
      </w:r>
      <w:r>
        <w:t xml:space="preserve">волонтёрском сопровождении региональных, федеральных и международных мероприятий, инициирующие добровольческие (волонтёрские) проекты, организовывающие деятельность добровольцев (волонтёров);</w:t>
      </w:r>
      <w:r/>
    </w:p>
    <w:p>
      <w:pPr>
        <w:ind w:left="0" w:right="0" w:firstLine="709"/>
      </w:pPr>
      <w:r>
        <w:t xml:space="preserve">6.4.</w:t>
      </w:r>
      <w:r>
        <w:tab/>
        <w:t xml:space="preserve">«</w:t>
      </w:r>
      <w:r>
        <w:t xml:space="preserve">Служить Добром</w:t>
      </w:r>
      <w:r>
        <w:t xml:space="preserve">» – в номинации принимают участие проекты, созданные и</w:t>
      </w:r>
      <w:r>
        <w:t xml:space="preserve"> </w:t>
      </w:r>
      <w:r>
        <w:t xml:space="preserve">осуществляемые добровольческими (волонтёрскими) объединениями/</w:t>
      </w:r>
      <w:r>
        <w:t xml:space="preserve"> </w:t>
      </w:r>
      <w:r>
        <w:t xml:space="preserve">активистами на территории Сургутского района в направлении патриотического добровольчества</w:t>
      </w:r>
      <w:r>
        <w:t xml:space="preserve">, </w:t>
      </w:r>
      <w:r>
        <w:t xml:space="preserve">а также проекты, направленные на поддержку участников специальной военной операции и</w:t>
      </w:r>
      <w:r>
        <w:t xml:space="preserve"> </w:t>
      </w:r>
      <w:r>
        <w:t xml:space="preserve">членов их семей;</w:t>
      </w:r>
      <w:r/>
    </w:p>
    <w:p>
      <w:pPr>
        <w:ind w:left="0" w:right="0" w:firstLine="709"/>
      </w:pPr>
      <w:r>
        <w:t xml:space="preserve">6.5.</w:t>
      </w:r>
      <w:r>
        <w:tab/>
        <w:t xml:space="preserve">«</w:t>
      </w:r>
      <w:r>
        <w:t xml:space="preserve">Территория Добра</w:t>
      </w:r>
      <w:r>
        <w:t xml:space="preserve">» – в номинации принимают участие проекты, созданные и осуществляемые добровольческими (волонтёрскими) объединениями/активистами на территории Сургутского района в направлении социального добровольчества;</w:t>
      </w:r>
      <w:r/>
    </w:p>
    <w:p>
      <w:pPr>
        <w:ind w:left="0" w:right="0" w:firstLine="709"/>
      </w:pPr>
      <w:r>
        <w:t xml:space="preserve">6.6.</w:t>
      </w:r>
      <w:r>
        <w:tab/>
        <w:t xml:space="preserve">«</w:t>
      </w:r>
      <w:r>
        <w:t xml:space="preserve">Партнёры Добра</w:t>
      </w:r>
      <w:r>
        <w:t xml:space="preserve">» – в номинации принимают участие коммерческие организации, реализующие проекты, ориентированные на развитие добровольчества (</w:t>
      </w:r>
      <w:r>
        <w:t xml:space="preserve">волонтёрства</w:t>
      </w:r>
      <w:r>
        <w:t xml:space="preserve">) или осуществляющие социально-значимую деятельность силами своих корпоративных объединений;</w:t>
      </w:r>
      <w:r/>
    </w:p>
    <w:p>
      <w:pPr>
        <w:ind w:left="0" w:right="0" w:firstLine="709"/>
      </w:pPr>
      <w:r>
        <w:t xml:space="preserve">6.7.</w:t>
      </w:r>
      <w:r>
        <w:tab/>
        <w:t xml:space="preserve">«</w:t>
      </w:r>
      <w:r>
        <w:t xml:space="preserve">Щит Добра</w:t>
      </w:r>
      <w:r>
        <w:t xml:space="preserve">» – в номинации принимают участие проекты, созданные и</w:t>
      </w:r>
      <w:r>
        <w:t xml:space="preserve"> </w:t>
      </w:r>
      <w:r>
        <w:t xml:space="preserve">осуществляемые добровольческими (волонтёрскими) объединениями/</w:t>
      </w:r>
      <w:r>
        <w:t xml:space="preserve"> </w:t>
      </w:r>
      <w:r>
        <w:t xml:space="preserve">активистами на территории Сургутского района в направлении </w:t>
      </w:r>
      <w:r>
        <w:t xml:space="preserve">волонтёрств</w:t>
      </w:r>
      <w:r>
        <w:t xml:space="preserve">а</w:t>
      </w:r>
      <w:r>
        <w:t xml:space="preserve"> общественной безопасности и в чрезвычайных ситуациях;</w:t>
      </w:r>
      <w:r/>
    </w:p>
    <w:p>
      <w:pPr>
        <w:ind w:left="0" w:right="0" w:firstLine="709"/>
      </w:pPr>
      <w:r>
        <w:t xml:space="preserve">6.8.</w:t>
      </w:r>
      <w:r>
        <w:tab/>
        <w:t xml:space="preserve">«Сердце природы» – в номинации принимают участие проекты, созданные и осуществляемые добровольческими (волонтёрскими) объединениями/</w:t>
      </w:r>
      <w:r>
        <w:t xml:space="preserve"> </w:t>
      </w:r>
      <w:r>
        <w:t xml:space="preserve">активистами на территории Сургутского района в направлении </w:t>
      </w:r>
      <w:r>
        <w:t xml:space="preserve">эковолонтёрства</w:t>
      </w:r>
      <w:r>
        <w:t xml:space="preserve">, а</w:t>
      </w:r>
      <w:r>
        <w:t xml:space="preserve"> </w:t>
      </w:r>
      <w:r>
        <w:t xml:space="preserve">также добровольческие (волонтёрские) практики, созданные и</w:t>
      </w:r>
      <w:r>
        <w:t xml:space="preserve"> </w:t>
      </w:r>
      <w:r>
        <w:t xml:space="preserve">осуществляемые добровольческими (волонтёрскими) объединениями/организациями на территории Сургутского района в направлении зоозащиты;</w:t>
      </w:r>
      <w:r/>
    </w:p>
    <w:p>
      <w:pPr>
        <w:ind w:left="0" w:right="0" w:firstLine="709"/>
      </w:pPr>
      <w:r>
        <w:t xml:space="preserve">6.9.</w:t>
      </w:r>
      <w:r>
        <w:tab/>
        <w:t xml:space="preserve">«</w:t>
      </w:r>
      <w:r>
        <w:t xml:space="preserve">Голос Добра</w:t>
      </w:r>
      <w:r>
        <w:t xml:space="preserve">» – в номинации принимают участие активисты, являющиеся активными представителями направления </w:t>
      </w:r>
      <w:r>
        <w:t xml:space="preserve">медиаволонтёрств</w:t>
      </w:r>
      <w:r>
        <w:t xml:space="preserve">а</w:t>
      </w:r>
      <w:r>
        <w:t xml:space="preserve"> на</w:t>
      </w:r>
      <w:r>
        <w:t xml:space="preserve"> </w:t>
      </w:r>
      <w:r>
        <w:t xml:space="preserve">территории Сургутского района;</w:t>
      </w:r>
      <w:r/>
    </w:p>
    <w:p>
      <w:pPr>
        <w:ind w:left="0" w:right="0" w:firstLine="709"/>
      </w:pPr>
      <w:r>
        <w:t xml:space="preserve">6.10.</w:t>
      </w:r>
      <w:r>
        <w:tab/>
        <w:t xml:space="preserve">«Флагманы Добра» – в номинации принимают участие проекты, созданные и осуществляемые добровольческими (волонтёрскими) объединениями/активистами </w:t>
      </w:r>
      <w:r>
        <w:rPr>
          <w:highlight w:val="white"/>
        </w:rPr>
        <w:t xml:space="preserve">Всероссийского общественного движения</w:t>
      </w:r>
      <w:r>
        <w:rPr>
          <w:highlight w:val="white"/>
        </w:rPr>
        <w:t xml:space="preserve"> </w:t>
      </w:r>
      <w:r>
        <w:t xml:space="preserve">«Волонтёры-медики», «Волонтёры Победы» и «Волонтёры культуры» на территории Сургутского района; </w:t>
      </w:r>
      <w:r/>
    </w:p>
    <w:p>
      <w:pPr>
        <w:ind w:left="0" w:right="0" w:firstLine="709"/>
      </w:pPr>
      <w:r>
        <w:t xml:space="preserve">6.11. </w:t>
      </w:r>
      <w:r>
        <w:t xml:space="preserve">«Серебряные волонтёры» – в номинации принимают участие проекты, созданные и осуществляемые добровольческими (волонтёрскими) объединениями/активистами в направлении «Серебряное» </w:t>
      </w:r>
      <w:r>
        <w:t xml:space="preserve">волонтёрство</w:t>
      </w:r>
      <w:r>
        <w:t xml:space="preserve"> на</w:t>
      </w:r>
      <w:r>
        <w:t xml:space="preserve"> </w:t>
      </w:r>
      <w:r>
        <w:t xml:space="preserve">территории Сургутского района.</w:t>
      </w:r>
      <w:r/>
    </w:p>
    <w:p>
      <w:pPr>
        <w:ind w:left="0" w:right="0"/>
        <w:jc w:val="center"/>
      </w:pPr>
      <w:r>
        <w:rPr>
          <w:b/>
        </w:rPr>
        <w:t xml:space="preserve">7. Критерии оценки</w:t>
      </w:r>
      <w:r/>
    </w:p>
    <w:p>
      <w:pPr>
        <w:ind w:left="0" w:right="0" w:firstLine="709"/>
      </w:pPr>
      <w:r>
        <w:t xml:space="preserve">Участники Премии в номинациях оцениваются по следующим критериям</w:t>
      </w:r>
      <w:r>
        <w:t xml:space="preserve">:</w:t>
      </w:r>
      <w:r/>
    </w:p>
    <w:p>
      <w:pPr>
        <w:ind w:left="0" w:right="0" w:firstLine="709"/>
      </w:pPr>
      <w:r>
        <w:t xml:space="preserve">7.1.</w:t>
      </w:r>
      <w:r>
        <w:tab/>
        <w:t xml:space="preserve">Стаж и системность добровольческой (волонтёрской) деятельности в</w:t>
      </w:r>
      <w:r>
        <w:t xml:space="preserve"> </w:t>
      </w:r>
      <w:r>
        <w:t xml:space="preserve">соответствии с выбранным направлением (подтверждаются данными электронной книжки волонтёра);</w:t>
      </w:r>
      <w:r/>
    </w:p>
    <w:p>
      <w:pPr>
        <w:ind w:left="0" w:right="0" w:firstLine="709"/>
      </w:pPr>
      <w:r>
        <w:t xml:space="preserve">7.2.</w:t>
      </w:r>
      <w:r>
        <w:tab/>
        <w:t xml:space="preserve">Наличие устойчивой команды/</w:t>
      </w:r>
      <w:r>
        <w:t xml:space="preserve"> </w:t>
      </w:r>
      <w:r>
        <w:t xml:space="preserve">партнёров, реализуемой добровольческой (волонтёрской) практики;</w:t>
      </w:r>
      <w:r/>
    </w:p>
    <w:p>
      <w:pPr>
        <w:ind w:left="0" w:right="0" w:firstLine="709"/>
      </w:pPr>
      <w:r>
        <w:t xml:space="preserve">7.3.</w:t>
      </w:r>
      <w:r>
        <w:tab/>
        <w:t xml:space="preserve">Наличие достижений в добровольческой (волонтёрской) деятельности (отзывы, благодарственные письма, письма поддержки);</w:t>
      </w:r>
      <w:r/>
    </w:p>
    <w:p>
      <w:pPr>
        <w:ind w:left="0" w:right="0" w:firstLine="709"/>
      </w:pPr>
      <w:r>
        <w:t xml:space="preserve">7.4.</w:t>
      </w:r>
      <w:r>
        <w:tab/>
        <w:t xml:space="preserve">Социальный эффект добровольческой (волонтёрской) деятельности объединения/</w:t>
      </w:r>
      <w:r>
        <w:t xml:space="preserve"> </w:t>
      </w:r>
      <w:r>
        <w:t xml:space="preserve">организации (результат, изменения от реализации практики);</w:t>
      </w:r>
      <w:r/>
    </w:p>
    <w:p>
      <w:pPr>
        <w:ind w:left="0" w:right="0" w:firstLine="709"/>
      </w:pPr>
      <w:r>
        <w:t xml:space="preserve">7.5.</w:t>
      </w:r>
      <w:r>
        <w:tab/>
        <w:t xml:space="preserve">Общественная значимость оказанной добровольческой (волонтёрской) помощи, проведённых мероприятий и акций, актуальность осуществляемой практики (количественные и качественные результаты);</w:t>
      </w:r>
      <w:r/>
    </w:p>
    <w:p>
      <w:pPr>
        <w:ind w:left="0" w:right="0" w:firstLine="709"/>
      </w:pPr>
      <w:r>
        <w:t xml:space="preserve">7.6.</w:t>
      </w:r>
      <w:r>
        <w:tab/>
        <w:t xml:space="preserve">Трансляция осуществляемых действий при реализации добровольческих (волонтёрских) мероприятий (ссылки на публикации);</w:t>
      </w:r>
      <w:r/>
    </w:p>
    <w:p>
      <w:pPr>
        <w:ind w:left="0" w:right="0" w:firstLine="709"/>
      </w:pPr>
      <w:r>
        <w:t xml:space="preserve">7.7.</w:t>
      </w:r>
      <w:r>
        <w:tab/>
        <w:t xml:space="preserve">Возможность дальнейшего развития осуществляемой добровольческой (волонтёрской) практики;</w:t>
      </w:r>
      <w:r/>
    </w:p>
    <w:p>
      <w:pPr>
        <w:ind w:left="360" w:right="0" w:firstLine="348"/>
      </w:pPr>
      <w:r>
        <w:t xml:space="preserve">7.8.</w:t>
      </w:r>
      <w:r>
        <w:tab/>
        <w:t xml:space="preserve">Конкретность заявки – полное и корректное заполнение всех полей конкурсной заявки. </w:t>
      </w:r>
      <w:r/>
    </w:p>
    <w:p>
      <w:pPr>
        <w:ind w:left="709" w:right="0" w:firstLine="0"/>
      </w:pPr>
      <w:r/>
      <w:r/>
    </w:p>
    <w:p>
      <w:pPr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8. Финансирование мероприятий Премии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0" w:firstLine="709"/>
        <w:rPr>
          <w:szCs w:val="28"/>
        </w:rPr>
      </w:pPr>
      <w:r>
        <w:rPr>
          <w:szCs w:val="28"/>
        </w:rPr>
        <w:t xml:space="preserve">8.1.</w:t>
      </w:r>
      <w:r>
        <w:rPr>
          <w:szCs w:val="28"/>
        </w:rPr>
        <w:tab/>
        <w:t xml:space="preserve">Финансирование мероприятий, реализуемых Организаторами в рамках проведения Премии, осуществляет </w:t>
      </w:r>
      <w:r>
        <w:rPr>
          <w:szCs w:val="28"/>
        </w:rPr>
        <w:t xml:space="preserve">МАУ «РМЦ»</w:t>
      </w:r>
      <w:r>
        <w:rPr>
          <w:szCs w:val="28"/>
        </w:rPr>
        <w:t xml:space="preserve">. Финансирование мероприятий, реализуемых участниками в рамках Премии, </w:t>
      </w:r>
      <w:r>
        <w:rPr>
          <w:szCs w:val="28"/>
        </w:rPr>
        <w:t xml:space="preserve">МАУ «РМЦ»</w:t>
      </w:r>
      <w:r>
        <w:rPr>
          <w:szCs w:val="28"/>
        </w:rPr>
        <w:t xml:space="preserve"> </w:t>
      </w:r>
      <w:r>
        <w:rPr>
          <w:szCs w:val="28"/>
        </w:rPr>
        <w:t xml:space="preserve">не осуществляет. </w:t>
      </w:r>
      <w:r>
        <w:rPr>
          <w:szCs w:val="28"/>
        </w:rPr>
      </w:r>
      <w:r>
        <w:rPr>
          <w:szCs w:val="28"/>
        </w:rPr>
      </w:r>
    </w:p>
    <w:p>
      <w:pPr>
        <w:ind w:right="0"/>
        <w:jc w:val="left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9. Подведение итогов Премии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left="-15" w:right="0" w:firstLine="724"/>
      </w:pPr>
      <w:r>
        <w:rPr>
          <w:szCs w:val="28"/>
        </w:rPr>
        <w:t xml:space="preserve">9.1.</w:t>
      </w:r>
      <w:r>
        <w:rPr>
          <w:szCs w:val="28"/>
        </w:rPr>
        <w:tab/>
      </w:r>
      <w:r>
        <w:rPr>
          <w:szCs w:val="28"/>
        </w:rPr>
        <w:t xml:space="preserve">Номинантов </w:t>
      </w:r>
      <w:r>
        <w:t xml:space="preserve">Премии оценивает Экспертный совет (Приложение 1) по указанным в настоящем Положении критериям, используя оценочную ведомость для выставления баллов номинантам (Приложение 2).</w:t>
      </w:r>
      <w:r/>
    </w:p>
    <w:p>
      <w:pPr>
        <w:ind w:right="0" w:firstLine="709"/>
      </w:pPr>
      <w:r>
        <w:rPr>
          <w:szCs w:val="28"/>
        </w:rPr>
        <w:t xml:space="preserve">9.2.</w:t>
      </w:r>
      <w:r>
        <w:rPr>
          <w:szCs w:val="28"/>
        </w:rPr>
        <w:t xml:space="preserve"> </w:t>
      </w:r>
      <w:r>
        <w:rPr>
          <w:szCs w:val="28"/>
        </w:rPr>
        <w:t xml:space="preserve">Подведение итогов Премии происходит после экспертной оценки представленных номинантами материалов о добровольческих (волонтёрских) практиках.</w:t>
      </w:r>
      <w:r/>
    </w:p>
    <w:p>
      <w:pPr>
        <w:ind w:right="0" w:firstLine="709"/>
      </w:pPr>
      <w:r>
        <w:rPr>
          <w:szCs w:val="28"/>
        </w:rPr>
        <w:t xml:space="preserve">9.3.</w:t>
      </w:r>
      <w:r>
        <w:rPr>
          <w:szCs w:val="28"/>
        </w:rPr>
        <w:tab/>
        <w:t xml:space="preserve">Размещение видео материалов о наиболее успешных добровольческих (волонтёрских) и социально-ориентированных практиках Сургутского района и</w:t>
      </w:r>
      <w:r>
        <w:rPr>
          <w:szCs w:val="28"/>
        </w:rPr>
        <w:t xml:space="preserve"> </w:t>
      </w:r>
      <w:r>
        <w:rPr>
          <w:szCs w:val="28"/>
        </w:rPr>
        <w:t xml:space="preserve">итогах Премии осуществляется в группе МАУ «РМЦ» в социальной сети «</w:t>
      </w:r>
      <w:r>
        <w:rPr>
          <w:szCs w:val="28"/>
        </w:rPr>
        <w:t xml:space="preserve">Вконтакте</w:t>
      </w:r>
      <w:r>
        <w:rPr>
          <w:szCs w:val="28"/>
        </w:rPr>
        <w:t xml:space="preserve">» (https://vk.com/rmc_sr)</w:t>
      </w:r>
      <w:r>
        <w:rPr>
          <w:szCs w:val="28"/>
        </w:rPr>
        <w:t xml:space="preserve">.</w:t>
      </w:r>
      <w:r/>
    </w:p>
    <w:p>
      <w:pPr>
        <w:ind w:right="0" w:firstLine="709"/>
      </w:pPr>
      <w:r>
        <w:rPr>
          <w:szCs w:val="28"/>
        </w:rPr>
        <w:t xml:space="preserve">9.4.</w:t>
      </w:r>
      <w:r>
        <w:rPr>
          <w:szCs w:val="28"/>
        </w:rPr>
        <w:tab/>
      </w:r>
      <w:r>
        <w:rPr>
          <w:szCs w:val="28"/>
          <w:highlight w:val="white"/>
        </w:rPr>
        <w:t xml:space="preserve">По результатам </w:t>
      </w:r>
      <w:r>
        <w:rPr>
          <w:szCs w:val="28"/>
          <w:highlight w:val="white"/>
        </w:rPr>
        <w:t xml:space="preserve">оц</w:t>
      </w:r>
      <w:r>
        <w:rPr>
          <w:szCs w:val="28"/>
          <w:highlight w:val="white"/>
        </w:rPr>
        <w:t xml:space="preserve">енки </w:t>
      </w:r>
      <w:r>
        <w:rPr>
          <w:szCs w:val="28"/>
          <w:highlight w:val="white"/>
          <w:u w:val="none"/>
        </w:rPr>
        <w:t xml:space="preserve">Экспертного совета,</w:t>
      </w:r>
      <w:r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четырём</w:t>
      </w:r>
      <w:r>
        <w:rPr>
          <w:szCs w:val="28"/>
          <w:highlight w:val="white"/>
        </w:rPr>
        <w:t xml:space="preserve"> лучшим номинантам Премии</w:t>
      </w:r>
      <w:r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п</w:t>
      </w:r>
      <w:r>
        <w:rPr>
          <w:szCs w:val="28"/>
        </w:rPr>
        <w:t xml:space="preserve">рисуждается знак качества «Добрый район» в виде награды – «Бриллиантовая кнопка «Добрый район», «Золотая кнопка «Добрый район», «Серебряная кнопка «Добрый район», «Бронзовая кнопка «Добрый район» за первое, второе, третье, четвёртое места соответственно. </w:t>
      </w:r>
      <w:r/>
    </w:p>
    <w:p>
      <w:pPr>
        <w:ind w:right="0" w:firstLine="709"/>
        <w:rPr>
          <w:highlight w:val="none"/>
        </w:rPr>
      </w:pPr>
      <w:r>
        <w:rPr>
          <w:szCs w:val="28"/>
        </w:rPr>
        <w:t xml:space="preserve">9.5.</w:t>
      </w:r>
      <w:r>
        <w:rPr>
          <w:szCs w:val="28"/>
        </w:rPr>
        <w:tab/>
      </w:r>
      <w:r>
        <w:rPr>
          <w:szCs w:val="28"/>
        </w:rPr>
        <w:t xml:space="preserve">Номинанты, не вошедшие в число лучших, награждаются дипломами за первое, второе, третье место и сертификатами участников.</w:t>
      </w:r>
      <w:r>
        <w:rPr>
          <w:highlight w:val="none"/>
        </w:rPr>
      </w:r>
      <w:r>
        <w:rPr>
          <w:highlight w:val="none"/>
        </w:rPr>
      </w:r>
    </w:p>
    <w:p>
      <w:pPr>
        <w:ind w:right="0" w:firstLine="709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right="0" w:firstLine="709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right="0" w:firstLine="709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right="0"/>
        <w:jc w:val="left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10" w:right="0" w:hanging="10"/>
        <w:jc w:val="center"/>
        <w:rPr>
          <w:b/>
          <w:szCs w:val="28"/>
        </w:rPr>
      </w:pPr>
      <w:r>
        <w:rPr>
          <w:b/>
          <w:szCs w:val="28"/>
        </w:rPr>
        <w:t xml:space="preserve">10.  Контактная информация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0" w:firstLine="709"/>
      </w:pPr>
      <w:r>
        <w:rPr>
          <w:szCs w:val="28"/>
        </w:rPr>
        <w:t xml:space="preserve">10.1. МАУ «РМЦ»: </w:t>
      </w:r>
      <w:r>
        <w:rPr>
          <w:szCs w:val="28"/>
        </w:rPr>
        <w:t xml:space="preserve">г.п</w:t>
      </w:r>
      <w:r>
        <w:rPr>
          <w:szCs w:val="28"/>
        </w:rPr>
        <w:t xml:space="preserve">. Белый Яр, ул. </w:t>
      </w:r>
      <w:r>
        <w:rPr>
          <w:szCs w:val="28"/>
        </w:rPr>
        <w:t xml:space="preserve">Маяковского, д. 11а</w:t>
      </w:r>
      <w:r>
        <w:rPr>
          <w:szCs w:val="28"/>
        </w:rPr>
        <w:t xml:space="preserve">, </w:t>
      </w:r>
      <w:r>
        <w:rPr>
          <w:szCs w:val="28"/>
        </w:rPr>
        <w:t xml:space="preserve">каб</w:t>
      </w:r>
      <w:r>
        <w:rPr>
          <w:szCs w:val="28"/>
        </w:rPr>
        <w:t xml:space="preserve">. </w:t>
      </w:r>
      <w:r>
        <w:rPr>
          <w:szCs w:val="28"/>
        </w:rPr>
        <w:t xml:space="preserve">17</w:t>
      </w:r>
      <w:r>
        <w:rPr>
          <w:szCs w:val="28"/>
        </w:rPr>
        <w:t xml:space="preserve">, тел.: 8(3462)550-718, e-</w:t>
      </w:r>
      <w:r>
        <w:rPr>
          <w:szCs w:val="28"/>
        </w:rPr>
        <w:t xml:space="preserve">mail</w:t>
      </w:r>
      <w:r>
        <w:rPr>
          <w:szCs w:val="28"/>
        </w:rPr>
        <w:t xml:space="preserve">: rmc-mp@mail.ru</w:t>
      </w:r>
      <w:r/>
    </w:p>
    <w:p>
      <w:pPr>
        <w:ind w:right="0" w:firstLine="709"/>
      </w:pPr>
      <w:r>
        <w:rPr>
          <w:szCs w:val="28"/>
        </w:rPr>
        <w:t xml:space="preserve">10.2.</w:t>
      </w:r>
      <w:r>
        <w:rPr>
          <w:szCs w:val="28"/>
        </w:rPr>
        <w:tab/>
        <w:t xml:space="preserve">Контактные лица: </w:t>
      </w:r>
      <w:r/>
    </w:p>
    <w:p>
      <w:pPr>
        <w:ind w:right="0" w:firstLine="709"/>
      </w:pPr>
      <w:r>
        <w:rPr>
          <w:szCs w:val="28"/>
        </w:rPr>
        <w:t xml:space="preserve">– </w:t>
      </w:r>
      <w:r>
        <w:rPr>
          <w:szCs w:val="28"/>
        </w:rPr>
        <w:t xml:space="preserve">Бородатый Марк Русланович</w:t>
      </w:r>
      <w:r>
        <w:rPr>
          <w:szCs w:val="28"/>
        </w:rPr>
        <w:t xml:space="preserve">, </w:t>
      </w:r>
      <w:r>
        <w:rPr>
          <w:szCs w:val="28"/>
        </w:rPr>
        <w:t xml:space="preserve">начальник отдела реализации основных направлений молодёжной политики</w:t>
      </w:r>
      <w:r>
        <w:rPr>
          <w:szCs w:val="28"/>
        </w:rPr>
        <w:t xml:space="preserve"> МАУ «РМЦ», 8(3462) 550-718;</w:t>
      </w:r>
      <w:r/>
    </w:p>
    <w:p>
      <w:pPr>
        <w:ind w:right="0" w:firstLine="709"/>
      </w:pPr>
      <w:r>
        <w:rPr>
          <w:szCs w:val="28"/>
        </w:rPr>
        <w:t xml:space="preserve">– Жаркой Ирина Петровна, специалист по работе с молодёжью отдела реализации основных направлений молодёжной политики МАУ «РМЦ», 8(3462)550-718.</w:t>
      </w:r>
      <w:r>
        <w:br w:type="page" w:clear="all"/>
      </w:r>
      <w:r/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/>
      <w:bookmarkStart w:id="0" w:name="_Hlk235547496"/>
      <w:r>
        <w:rPr>
          <w:sz w:val="20"/>
          <w:szCs w:val="20"/>
        </w:rPr>
        <w:t xml:space="preserve">Приложение 1 к Положению </w:t>
      </w:r>
      <w:r>
        <w:rPr>
          <w:sz w:val="20"/>
          <w:szCs w:val="20"/>
        </w:rPr>
        <w:br/>
        <w:t xml:space="preserve">об организации и проведении </w:t>
      </w:r>
      <w:r>
        <w:rPr>
          <w:sz w:val="20"/>
          <w:szCs w:val="20"/>
        </w:rPr>
        <w:t xml:space="preserve">районного проекта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«Премия лучших добровольческих практик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14"/>
          <w:szCs w:val="14"/>
        </w:rPr>
      </w:pPr>
      <w:r>
        <w:rPr>
          <w:sz w:val="20"/>
          <w:szCs w:val="20"/>
        </w:rPr>
        <w:t xml:space="preserve">«Одобрено добром»</w:t>
      </w:r>
      <w:bookmarkEnd w:id="0"/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left="10" w:right="-2" w:hanging="10"/>
        <w:jc w:val="right"/>
        <w:spacing w:after="0" w:line="259" w:lineRule="auto"/>
      </w:pPr>
      <w:r/>
      <w:r/>
    </w:p>
    <w:p>
      <w:pPr>
        <w:ind w:left="567" w:right="-2"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567" w:right="-2" w:firstLine="0"/>
        <w:jc w:val="center"/>
        <w:rPr>
          <w:b/>
          <w:bCs/>
          <w:szCs w:val="28"/>
        </w:rPr>
        <w:outlineLvl w:val="1"/>
      </w:pPr>
      <w:r>
        <w:rPr>
          <w:b/>
          <w:bCs/>
          <w:szCs w:val="28"/>
        </w:rPr>
        <w:t xml:space="preserve">Экспертный совет Премии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left="567" w:right="-2" w:firstLine="0"/>
        <w:jc w:val="center"/>
        <w:rPr>
          <w:b/>
          <w:bCs/>
          <w:szCs w:val="28"/>
        </w:rPr>
        <w:outlineLvl w:val="1"/>
      </w:pPr>
      <w:r>
        <w:rPr>
          <w:b/>
          <w:bCs/>
          <w:szCs w:val="28"/>
        </w:rPr>
        <w:t xml:space="preserve">лучших добровольческих практик Сургутского района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left="567" w:right="-2" w:firstLine="0"/>
        <w:jc w:val="center"/>
        <w:rPr>
          <w:b/>
          <w:bCs/>
          <w:szCs w:val="28"/>
        </w:rPr>
        <w:outlineLvl w:val="1"/>
      </w:pPr>
      <w:r>
        <w:rPr>
          <w:b/>
          <w:bCs/>
          <w:szCs w:val="28"/>
        </w:rPr>
        <w:t xml:space="preserve">«Одобрено добром»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firstLine="709"/>
        <w:jc w:val="center"/>
        <w:rPr>
          <w:b/>
          <w:bCs/>
          <w:szCs w:val="28"/>
        </w:rPr>
        <w:outlineLvl w:val="1"/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tbl>
      <w:tblPr>
        <w:tblStyle w:val="961"/>
        <w:tblW w:w="10346" w:type="dxa"/>
        <w:tblLayout w:type="fixed"/>
        <w:tblLook w:val="04A0" w:firstRow="1" w:lastRow="0" w:firstColumn="1" w:lastColumn="0" w:noHBand="0" w:noVBand="1"/>
      </w:tblPr>
      <w:tblGrid>
        <w:gridCol w:w="992"/>
        <w:gridCol w:w="2551"/>
        <w:gridCol w:w="6803"/>
      </w:tblGrid>
      <w:tr>
        <w:tblPrEx/>
        <w:trPr>
          <w:trHeight w:val="549"/>
        </w:trPr>
        <w:tc>
          <w:tcPr>
            <w:tcW w:w="992" w:type="dxa"/>
            <w:textDirection w:val="lrTb"/>
            <w:noWrap w:val="false"/>
          </w:tcPr>
          <w:p>
            <w:pPr>
              <w:jc w:val="left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jc w:val="left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п/п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Ф.И.О.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Должность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Хомутовская Валентина Вячеславовна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управления молодёжной политики и реализации социальных инициатив администрации Сургутского района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Закирова Екатерина Александровна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директор муниципального автономного учреждения Сургутского района «Районный молодёжный центр»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Жаркой Ирина Петровна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</w:t>
            </w:r>
            <w:r>
              <w:rPr>
                <w:szCs w:val="28"/>
              </w:rPr>
              <w:t xml:space="preserve">уководитель Центра добровольческих инициатив Сургутского района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Куксгауз</w:t>
            </w:r>
            <w:r>
              <w:rPr>
                <w:szCs w:val="28"/>
              </w:rPr>
              <w:t xml:space="preserve"> Ирина Венедиктовна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куратор волонтёров культурных событий Сургутского района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Ласкин</w:t>
            </w:r>
            <w:r>
              <w:rPr>
                <w:szCs w:val="28"/>
              </w:rPr>
              <w:t xml:space="preserve"> Марат Сергеевич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начальник центра развития добровольчества Автономной некоммерческой организации «Молодёжный центр Югры»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Муслимова</w:t>
            </w:r>
            <w:r>
              <w:rPr>
                <w:szCs w:val="28"/>
              </w:rPr>
              <w:t xml:space="preserve"> Айна </w:t>
            </w:r>
            <w:r>
              <w:rPr>
                <w:szCs w:val="28"/>
              </w:rPr>
              <w:t xml:space="preserve">Сраждиновна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председатель Совета местного отделения Движения первых в Сургутском районе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Волощук</w:t>
            </w:r>
            <w:r>
              <w:rPr>
                <w:szCs w:val="28"/>
              </w:rPr>
              <w:t xml:space="preserve"> Лариса Валерьевна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803" w:type="dxa"/>
            <w:textDirection w:val="lrTb"/>
            <w:noWrap w:val="false"/>
          </w:tcPr>
          <w:p>
            <w:pPr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директор автономной некоммерческой организации </w:t>
            </w:r>
            <w:r>
              <w:rPr>
                <w:szCs w:val="28"/>
              </w:rPr>
              <w:br/>
              <w:t xml:space="preserve">«Центр развития добровольчества </w:t>
            </w:r>
            <w:r>
              <w:rPr>
                <w:szCs w:val="28"/>
              </w:rPr>
              <w:t xml:space="preserve">С</w:t>
            </w:r>
            <w:r>
              <w:rPr>
                <w:szCs w:val="28"/>
              </w:rPr>
              <w:t xml:space="preserve">ургутского района «Добрый район»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hanging="11"/>
        <w:jc w:val="right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Приложение 2 к Положению </w:t>
      </w:r>
      <w:r>
        <w:rPr>
          <w:sz w:val="20"/>
          <w:szCs w:val="20"/>
        </w:rPr>
        <w:br/>
        <w:t xml:space="preserve">об организации и проведении </w:t>
      </w:r>
      <w:r>
        <w:rPr>
          <w:sz w:val="20"/>
          <w:szCs w:val="20"/>
        </w:rPr>
        <w:t xml:space="preserve">районного проекта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«Премия лучших добровольческих практик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14"/>
          <w:szCs w:val="14"/>
        </w:rPr>
      </w:pPr>
      <w:r>
        <w:rPr>
          <w:sz w:val="20"/>
          <w:szCs w:val="20"/>
        </w:rPr>
        <w:t xml:space="preserve">«Одобрено добром»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left="0" w:right="0" w:hanging="11"/>
        <w:jc w:val="center"/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left="0" w:right="0" w:hanging="11"/>
        <w:jc w:val="center"/>
        <w:spacing w:after="0" w:line="240" w:lineRule="auto"/>
        <w:rPr>
          <w:szCs w:val="28"/>
        </w:rPr>
      </w:pPr>
      <w:r>
        <w:rPr>
          <w:b/>
          <w:szCs w:val="28"/>
        </w:rPr>
        <w:t xml:space="preserve">Оценочная ведомость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b/>
          <w:szCs w:val="28"/>
        </w:rPr>
      </w:pPr>
      <w:r>
        <w:rPr>
          <w:b/>
          <w:szCs w:val="28"/>
        </w:rPr>
        <w:t xml:space="preserve">Премии </w:t>
      </w:r>
      <w:r>
        <w:rPr>
          <w:b/>
          <w:bCs/>
          <w:szCs w:val="28"/>
        </w:rPr>
        <w:t xml:space="preserve">лучших добровольческих практик </w:t>
      </w:r>
      <w:r>
        <w:rPr>
          <w:b/>
          <w:szCs w:val="28"/>
        </w:rPr>
        <w:t xml:space="preserve">Сургутского района 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szCs w:val="28"/>
        </w:rPr>
        <w:t xml:space="preserve">«Одобрено добром»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left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Номинант Премии: __________________________________________________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left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____________________________________________________________________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961"/>
        <w:tblW w:w="10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6"/>
        <w:gridCol w:w="7763"/>
        <w:gridCol w:w="1875"/>
      </w:tblGrid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ind w:left="10" w:right="100" w:hanging="10"/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№ п/п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ind w:left="10" w:right="100" w:hanging="10"/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Критерии оценивания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ind w:left="10" w:right="-42" w:hanging="10"/>
              <w:jc w:val="center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  <w:t xml:space="preserve">Оценка в баллах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Стаж и системность добровольческой (волонтёрской) деятельности в соответствии с выбранным направлением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  <w:p>
            <w:r>
              <w:rPr>
                <w:szCs w:val="27"/>
              </w:rPr>
              <w:t xml:space="preserve">(подтверждаются данными электронной книжки волонтёра)</w:t>
            </w:r>
            <w:r/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 w:val="32"/>
                <w:szCs w:val="28"/>
              </w:rPr>
            </w:pPr>
            <w:r>
              <w:rPr>
                <w:szCs w:val="27"/>
              </w:rPr>
              <w:t xml:space="preserve">Наличие устойчивой команды и партнеров реализуемой добровольческой (волонтёрской) практики/</w:t>
            </w:r>
            <w:r>
              <w:rPr>
                <w:szCs w:val="27"/>
              </w:rPr>
              <w:t xml:space="preserve"> </w:t>
            </w:r>
            <w:r>
              <w:rPr>
                <w:szCs w:val="27"/>
              </w:rPr>
              <w:t xml:space="preserve">инициативы</w:t>
            </w:r>
            <w:r>
              <w:rPr>
                <w:sz w:val="32"/>
                <w:szCs w:val="28"/>
              </w:rPr>
            </w:r>
            <w:r>
              <w:rPr>
                <w:sz w:val="32"/>
                <w:szCs w:val="28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Наличие достижений в добровольческой (волонтёрской) деятельности</w:t>
            </w:r>
            <w:r>
              <w:rPr>
                <w:szCs w:val="27"/>
              </w:rPr>
              <w:t xml:space="preserve"> </w:t>
            </w:r>
            <w:r>
              <w:rPr>
                <w:szCs w:val="27"/>
              </w:rPr>
              <w:t xml:space="preserve">(отзывы, благодарственные письма, письма поддержки)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692"/>
        </w:trPr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Социальный эффект добровольческой (волонтёрской) деятельности объединения/</w:t>
            </w:r>
            <w:r>
              <w:rPr>
                <w:szCs w:val="27"/>
              </w:rPr>
              <w:t xml:space="preserve"> </w:t>
            </w:r>
            <w:r>
              <w:rPr>
                <w:szCs w:val="27"/>
              </w:rPr>
              <w:t xml:space="preserve">организации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  <w:p>
            <w:r>
              <w:rPr>
                <w:szCs w:val="27"/>
              </w:rPr>
              <w:t xml:space="preserve">(результат, изменения от реализации практики)</w:t>
            </w:r>
            <w:r/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Общественная значимость оказанной добровольческой (волонтёрской) помощи, проведённых мероприятий и акций, актуальность осуществляемой практики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(количественные и качественные результаты)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Трансляция осуществляемых действий при реализации добровольческих (волонтёрских) мероприятий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  <w:p>
            <w:r>
              <w:rPr>
                <w:szCs w:val="27"/>
              </w:rPr>
              <w:t xml:space="preserve">(наличие ссылок на публикации)</w:t>
            </w:r>
            <w:r/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Возможность дальнейшего развития осуществляемой добровольческой (волонтёрской) практики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W w:w="1026" w:type="dxa"/>
            <w:textDirection w:val="lrTb"/>
            <w:noWrap w:val="false"/>
          </w:tcPr>
          <w:p>
            <w:pPr>
              <w:pStyle w:val="945"/>
              <w:numPr>
                <w:ilvl w:val="0"/>
                <w:numId w:val="23"/>
              </w:numPr>
              <w:ind w:left="0" w:firstLine="0"/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7763" w:type="dxa"/>
            <w:textDirection w:val="lrTb"/>
            <w:noWrap w:val="false"/>
          </w:tcPr>
          <w:p>
            <w:pPr>
              <w:rPr>
                <w:szCs w:val="27"/>
              </w:rPr>
            </w:pPr>
            <w:r>
              <w:rPr>
                <w:szCs w:val="27"/>
              </w:rPr>
              <w:t xml:space="preserve">Конкретность заявки – полное и корректное заполнение всех полей конкурсной заявки</w:t>
            </w:r>
            <w:r>
              <w:rPr>
                <w:szCs w:val="27"/>
              </w:rPr>
            </w:r>
            <w:r>
              <w:rPr>
                <w:szCs w:val="27"/>
              </w:rPr>
            </w:r>
          </w:p>
        </w:tc>
        <w:tc>
          <w:tcPr>
            <w:tcW w:w="1875" w:type="dxa"/>
            <w:textDirection w:val="lrTb"/>
            <w:noWrap w:val="false"/>
          </w:tcPr>
          <w:p>
            <w:pPr>
              <w:spacing w:after="160" w:line="259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jc w:val="left"/>
        <w:tabs>
          <w:tab w:val="left" w:pos="3300" w:leader="none"/>
        </w:tabs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Примечания:</w:t>
      </w:r>
      <w:r>
        <w:rPr>
          <w:b/>
          <w:i/>
          <w:sz w:val="26"/>
          <w:szCs w:val="26"/>
        </w:rPr>
      </w:r>
      <w:r>
        <w:rPr>
          <w:b/>
          <w:i/>
          <w:sz w:val="26"/>
          <w:szCs w:val="26"/>
        </w:rPr>
      </w:r>
    </w:p>
    <w:p>
      <w:pPr>
        <w:tabs>
          <w:tab w:val="left" w:pos="3300" w:leader="none"/>
        </w:tabs>
        <w:rPr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i/>
          <w:sz w:val="26"/>
          <w:szCs w:val="26"/>
        </w:rPr>
        <w:t xml:space="preserve">Для оценки каждого показателя используется пятибалльная шкала</w:t>
      </w:r>
      <w:r>
        <w:rPr>
          <w:i/>
          <w:sz w:val="26"/>
          <w:szCs w:val="26"/>
        </w:rPr>
        <w:t xml:space="preserve">.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ind w:left="0" w:right="-2" w:firstLine="0"/>
        <w:jc w:val="right"/>
        <w:shd w:val="clear" w:color="auto" w:fill="ffffff"/>
        <w:rPr>
          <w:sz w:val="20"/>
          <w:szCs w:val="20"/>
        </w:rPr>
      </w:pPr>
      <w:r>
        <w:rPr>
          <w:i/>
          <w:sz w:val="26"/>
          <w:szCs w:val="26"/>
        </w:rPr>
        <w:t xml:space="preserve">                            </w:t>
      </w:r>
      <w:r>
        <w:rPr>
          <w:szCs w:val="28"/>
        </w:rPr>
        <w:br w:type="page" w:clear="all"/>
      </w:r>
      <w:r>
        <w:rPr>
          <w:sz w:val="20"/>
          <w:szCs w:val="20"/>
        </w:rPr>
        <w:t xml:space="preserve">Приложение 3 к Положению </w:t>
      </w:r>
      <w:r>
        <w:rPr>
          <w:sz w:val="20"/>
          <w:szCs w:val="20"/>
        </w:rPr>
        <w:br/>
        <w:t xml:space="preserve">об организации и проведении </w:t>
      </w:r>
      <w:r>
        <w:rPr>
          <w:sz w:val="20"/>
          <w:szCs w:val="20"/>
        </w:rPr>
        <w:t xml:space="preserve">районного проекта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-2" w:firstLine="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«Премия лучших добровольческих практик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-2" w:firstLine="0"/>
        <w:jc w:val="right"/>
        <w:shd w:val="clear" w:color="auto" w:fill="ffffff"/>
        <w:rPr>
          <w:sz w:val="14"/>
          <w:szCs w:val="14"/>
        </w:rPr>
      </w:pPr>
      <w:r>
        <w:rPr>
          <w:sz w:val="20"/>
          <w:szCs w:val="20"/>
        </w:rPr>
        <w:t xml:space="preserve">«Одобрено добром»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left="0" w:right="-2" w:firstLine="0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0" w:right="-2" w:firstLine="0"/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Заявка на участие 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left="0" w:right="-2" w:firstLine="0"/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в Премии </w:t>
      </w:r>
      <w:r>
        <w:rPr>
          <w:b/>
          <w:bCs/>
          <w:szCs w:val="28"/>
        </w:rPr>
        <w:t xml:space="preserve">лучших добровольческих практик </w:t>
      </w:r>
      <w:r>
        <w:rPr>
          <w:b/>
          <w:szCs w:val="28"/>
        </w:rPr>
        <w:t xml:space="preserve">Сургутского района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left="0" w:right="-2" w:firstLine="0"/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«Одобрено добром» 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tbl>
      <w:tblPr>
        <w:tblStyle w:val="961"/>
        <w:tblW w:w="1032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652"/>
        <w:gridCol w:w="4707"/>
        <w:gridCol w:w="4964"/>
      </w:tblGrid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ind w:left="0" w:right="-71" w:firstLine="0"/>
              <w:widowControl w:val="off"/>
              <w:tabs>
                <w:tab w:val="left" w:pos="0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участника/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  <w:tab w:val="left" w:pos="1134" w:leader="none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(пример: активист/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руководитель объединения/объединение/организация)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название объединения/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ind w:left="0" w:right="371" w:firstLine="0"/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(для индивидуальных участников)</w:t>
            </w:r>
            <w:r>
              <w:rPr>
                <w:b/>
                <w:i/>
                <w:iCs/>
                <w:sz w:val="24"/>
                <w:szCs w:val="24"/>
              </w:rPr>
            </w:r>
            <w:r>
              <w:rPr>
                <w:b/>
                <w:i/>
                <w:iCs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Населённый пункт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62"/>
        </w:trPr>
        <w:tc>
          <w:tcPr>
            <w:tcW w:w="652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vMerge w:val="restart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Подробная информация о себе/деятельности объединения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волонтёрский опыт (кол-во лет и волонтёрских часов/ссылка на волонтёрскую книжку/организацию):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8"/>
        </w:trPr>
        <w:tc>
          <w:tcPr>
            <w:tcW w:w="65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vMerge w:val="continue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реализованные социальные проекты: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08"/>
        </w:trPr>
        <w:tc>
          <w:tcPr>
            <w:tcW w:w="65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vMerge w:val="continue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участие в деятельности общественных объединений: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308"/>
        </w:trPr>
        <w:tc>
          <w:tcPr>
            <w:tcW w:w="652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vMerge w:val="continue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достижения: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Социальные сети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(ссылка на аккаунт)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10323" w:type="dxa"/>
            <w:textDirection w:val="lrTb"/>
            <w:noWrap w:val="false"/>
          </w:tcPr>
          <w:p>
            <w:pPr>
              <w:ind w:left="10" w:right="44"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Добровольческая (волонтёрская) практика/инициатива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инициативы/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инициативы/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эффект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(Какую проблему решает, на что направлена практика?)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категория является </w:t>
            </w:r>
            <w:r>
              <w:rPr>
                <w:sz w:val="24"/>
                <w:szCs w:val="24"/>
              </w:rPr>
              <w:t xml:space="preserve">благополучателем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Качественные результаты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Количественные результаты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вовлечённых волонтёров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сторонних участников, вовлечённых в реализацию (подтверждается ссылкой на </w:t>
            </w:r>
            <w:r>
              <w:rPr>
                <w:sz w:val="24"/>
                <w:szCs w:val="24"/>
              </w:rPr>
              <w:t xml:space="preserve">публикацию, отзывами/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комментариями)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  <w:t xml:space="preserve">Трансляция результатов добровольческой (волонтёрской) практики</w:t>
            </w:r>
            <w:r>
              <w:rPr>
                <w:sz w:val="24"/>
                <w:szCs w:val="27"/>
              </w:rPr>
            </w:r>
            <w:r>
              <w:rPr>
                <w:sz w:val="24"/>
                <w:szCs w:val="27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  <w:szCs w:val="27"/>
              </w:rPr>
              <w:t xml:space="preserve">(ссылки на публикации)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52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widowControl w:val="off"/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707" w:type="dxa"/>
            <w:textDirection w:val="lrTb"/>
            <w:noWrap w:val="false"/>
          </w:tcPr>
          <w:p>
            <w:pPr>
              <w:rPr>
                <w:sz w:val="24"/>
                <w:szCs w:val="27"/>
              </w:rPr>
            </w:pPr>
            <w:r>
              <w:rPr>
                <w:sz w:val="24"/>
                <w:szCs w:val="27"/>
              </w:rPr>
              <w:t xml:space="preserve">Возможность дальнейшего развития осуществляемой добровольческой (волонтёрской) практики</w:t>
            </w:r>
            <w:r>
              <w:rPr>
                <w:sz w:val="24"/>
                <w:szCs w:val="27"/>
              </w:rPr>
            </w:r>
            <w:r>
              <w:rPr>
                <w:sz w:val="24"/>
                <w:szCs w:val="27"/>
              </w:rPr>
            </w:r>
          </w:p>
        </w:tc>
        <w:tc>
          <w:tcPr>
            <w:tcW w:w="4964" w:type="dxa"/>
            <w:textDirection w:val="lrTb"/>
            <w:noWrap w:val="false"/>
          </w:tcPr>
          <w:p>
            <w:pPr>
              <w:tabs>
                <w:tab w:val="left" w:pos="709" w:leader="none"/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rPr>
          <w:b/>
          <w:bCs/>
          <w:sz w:val="20"/>
          <w:szCs w:val="20"/>
        </w:rPr>
      </w:pPr>
      <w:r>
        <w:rPr>
          <w:szCs w:val="28"/>
        </w:rPr>
        <w:br w:type="page" w:clear="all"/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Приложение 4 к Положению </w:t>
      </w:r>
      <w:r>
        <w:rPr>
          <w:sz w:val="20"/>
          <w:szCs w:val="20"/>
        </w:rPr>
        <w:br/>
        <w:t xml:space="preserve">об организации и проведении </w:t>
      </w:r>
      <w:r>
        <w:rPr>
          <w:sz w:val="20"/>
          <w:szCs w:val="20"/>
        </w:rPr>
        <w:t xml:space="preserve">районного проекта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«Премия лучших добровольческих практик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14"/>
          <w:szCs w:val="14"/>
        </w:rPr>
      </w:pPr>
      <w:r>
        <w:rPr>
          <w:sz w:val="20"/>
          <w:szCs w:val="20"/>
        </w:rPr>
        <w:t xml:space="preserve">«Одобрено добром»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left="10" w:right="-2" w:hanging="10"/>
        <w:jc w:val="center"/>
        <w:shd w:val="clear" w:color="auto" w:fill="ffffff"/>
        <w:rPr>
          <w:rFonts w:eastAsia="Albany AMT"/>
          <w:szCs w:val="28"/>
        </w:rPr>
      </w:pPr>
      <w:r>
        <w:rPr>
          <w:rFonts w:eastAsia="Albany AMT"/>
          <w:szCs w:val="28"/>
        </w:rPr>
      </w:r>
      <w:r>
        <w:rPr>
          <w:rFonts w:eastAsia="Albany AMT"/>
          <w:szCs w:val="28"/>
        </w:rPr>
      </w:r>
      <w:r>
        <w:rPr>
          <w:rFonts w:eastAsia="Albany AMT"/>
          <w:szCs w:val="28"/>
        </w:rPr>
      </w:r>
    </w:p>
    <w:p>
      <w:pPr>
        <w:ind w:left="10" w:right="-2" w:hanging="10"/>
        <w:jc w:val="center"/>
        <w:shd w:val="clear" w:color="auto" w:fill="ffffff"/>
        <w:rPr>
          <w:rFonts w:eastAsia="Albany AMT"/>
          <w:szCs w:val="28"/>
        </w:rPr>
      </w:pPr>
      <w:r>
        <w:rPr>
          <w:rFonts w:eastAsia="Albany AMT"/>
          <w:b/>
          <w:szCs w:val="24"/>
        </w:rPr>
        <w:t xml:space="preserve">Согласие на обработку персональных данных участника</w:t>
      </w:r>
      <w:r>
        <w:rPr>
          <w:rFonts w:eastAsia="Albany AMT"/>
          <w:szCs w:val="24"/>
        </w:rPr>
        <w:t xml:space="preserve"> </w:t>
      </w:r>
      <w:r>
        <w:rPr>
          <w:b/>
          <w:szCs w:val="28"/>
        </w:rPr>
        <w:t xml:space="preserve">районного проекта </w:t>
      </w:r>
      <w:r>
        <w:rPr>
          <w:rFonts w:eastAsia="Albany AMT"/>
          <w:szCs w:val="28"/>
        </w:rPr>
      </w:r>
      <w:r>
        <w:rPr>
          <w:rFonts w:eastAsia="Albany AMT"/>
          <w:szCs w:val="28"/>
        </w:rPr>
      </w:r>
    </w:p>
    <w:p>
      <w:pPr>
        <w:ind w:left="10" w:right="-2" w:hanging="10"/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«Премия лучших добровольческих практик 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left="10" w:right="-2" w:hanging="10"/>
        <w:jc w:val="center"/>
        <w:shd w:val="clear" w:color="auto" w:fill="ffffff"/>
        <w:rPr>
          <w:b/>
          <w:szCs w:val="28"/>
        </w:rPr>
      </w:pPr>
      <w:r>
        <w:rPr>
          <w:b/>
          <w:szCs w:val="28"/>
        </w:rPr>
        <w:t xml:space="preserve">«Одобрено добром»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left="23" w:right="-2" w:hanging="23"/>
        <w:jc w:val="center"/>
        <w:tabs>
          <w:tab w:val="left" w:pos="709" w:leader="none"/>
          <w:tab w:val="left" w:pos="1134" w:leader="none"/>
        </w:tabs>
        <w:rPr>
          <w:b/>
          <w:szCs w:val="28"/>
          <w:lang w:eastAsia="en-US"/>
        </w:rPr>
      </w:pPr>
      <w:r>
        <w:rPr>
          <w:b/>
          <w:szCs w:val="28"/>
          <w:lang w:eastAsia="en-US"/>
        </w:rPr>
      </w:r>
      <w:r>
        <w:rPr>
          <w:b/>
          <w:szCs w:val="28"/>
          <w:lang w:eastAsia="en-US"/>
        </w:rPr>
      </w:r>
      <w:r>
        <w:rPr>
          <w:b/>
          <w:szCs w:val="28"/>
          <w:lang w:eastAsia="en-US"/>
        </w:rPr>
      </w:r>
    </w:p>
    <w:p>
      <w:pPr>
        <w:ind w:left="23" w:right="-2" w:hanging="23"/>
        <w:rPr>
          <w:rFonts w:eastAsia="Albany AMT"/>
          <w:sz w:val="24"/>
          <w:szCs w:val="24"/>
        </w:rPr>
        <w:outlineLvl w:val="0"/>
      </w:pPr>
      <w:r>
        <w:rPr>
          <w:rFonts w:eastAsia="Albany AMT"/>
          <w:sz w:val="24"/>
          <w:szCs w:val="24"/>
        </w:rPr>
        <w:t xml:space="preserve">Я, _______________________________________________________________________________,</w:t>
      </w:r>
      <w:r>
        <w:rPr>
          <w:rFonts w:eastAsia="Albany AMT"/>
          <w:sz w:val="24"/>
          <w:szCs w:val="24"/>
        </w:rPr>
      </w:r>
      <w:r>
        <w:rPr>
          <w:rFonts w:eastAsia="Albany AMT"/>
          <w:sz w:val="24"/>
          <w:szCs w:val="24"/>
        </w:rPr>
      </w:r>
    </w:p>
    <w:p>
      <w:pPr>
        <w:ind w:left="23" w:right="-2" w:hanging="23"/>
        <w:jc w:val="center"/>
        <w:rPr>
          <w:rFonts w:eastAsia="Albany AMT"/>
          <w:sz w:val="24"/>
          <w:szCs w:val="24"/>
          <w:vertAlign w:val="superscript"/>
        </w:rPr>
      </w:pPr>
      <w:r>
        <w:rPr>
          <w:rFonts w:eastAsia="Albany AMT"/>
          <w:sz w:val="24"/>
          <w:szCs w:val="24"/>
          <w:vertAlign w:val="superscript"/>
        </w:rPr>
        <w:t xml:space="preserve">(Ф.И.О.)</w:t>
      </w:r>
      <w:r>
        <w:rPr>
          <w:rFonts w:eastAsia="Albany AMT"/>
          <w:sz w:val="24"/>
          <w:szCs w:val="24"/>
          <w:vertAlign w:val="superscript"/>
        </w:rPr>
      </w:r>
      <w:r>
        <w:rPr>
          <w:rFonts w:eastAsia="Albany AMT"/>
          <w:sz w:val="24"/>
          <w:szCs w:val="24"/>
          <w:vertAlign w:val="superscript"/>
        </w:rPr>
      </w:r>
    </w:p>
    <w:p>
      <w:pPr>
        <w:ind w:left="23" w:right="-2" w:hanging="23"/>
        <w:rPr>
          <w:rFonts w:eastAsia="Albany AMT"/>
          <w:sz w:val="24"/>
          <w:szCs w:val="24"/>
        </w:rPr>
        <w:outlineLvl w:val="0"/>
      </w:pPr>
      <w:r>
        <w:rPr>
          <w:rFonts w:eastAsia="Albany AMT"/>
          <w:sz w:val="24"/>
          <w:szCs w:val="24"/>
        </w:rPr>
        <w:t xml:space="preserve">Проживающий (</w:t>
      </w:r>
      <w:r>
        <w:rPr>
          <w:rFonts w:eastAsia="Albany AMT"/>
          <w:sz w:val="24"/>
          <w:szCs w:val="24"/>
        </w:rPr>
        <w:t xml:space="preserve">щая</w:t>
      </w:r>
      <w:r>
        <w:rPr>
          <w:rFonts w:eastAsia="Albany AMT"/>
          <w:sz w:val="24"/>
          <w:szCs w:val="24"/>
        </w:rPr>
        <w:t xml:space="preserve">) по адресу________________________________________________________</w:t>
      </w:r>
      <w:r>
        <w:rPr>
          <w:rFonts w:eastAsia="Albany AMT"/>
          <w:sz w:val="24"/>
          <w:szCs w:val="24"/>
        </w:rPr>
      </w:r>
      <w:r>
        <w:rPr>
          <w:rFonts w:eastAsia="Albany AMT"/>
          <w:sz w:val="24"/>
          <w:szCs w:val="24"/>
        </w:rPr>
      </w:r>
    </w:p>
    <w:p>
      <w:pPr>
        <w:ind w:left="23" w:right="-2" w:hanging="23"/>
        <w:rPr>
          <w:rFonts w:eastAsia="Albany AMT"/>
          <w:sz w:val="24"/>
          <w:szCs w:val="24"/>
        </w:rPr>
        <w:outlineLvl w:val="0"/>
      </w:pPr>
      <w:r>
        <w:rPr>
          <w:rFonts w:eastAsia="Albany AMT"/>
          <w:sz w:val="24"/>
          <w:szCs w:val="24"/>
        </w:rPr>
        <w:t xml:space="preserve">__________________________________________________________________________________,</w:t>
      </w:r>
      <w:r>
        <w:rPr>
          <w:rFonts w:eastAsia="Albany AMT"/>
          <w:sz w:val="24"/>
          <w:szCs w:val="24"/>
        </w:rPr>
      </w:r>
      <w:r>
        <w:rPr>
          <w:rFonts w:eastAsia="Albany AMT"/>
          <w:sz w:val="24"/>
          <w:szCs w:val="24"/>
        </w:rPr>
      </w:r>
    </w:p>
    <w:p>
      <w:pPr>
        <w:ind w:left="23" w:right="-2" w:hanging="23"/>
        <w:rPr>
          <w:rFonts w:eastAsia="Albany AMT"/>
          <w:sz w:val="24"/>
          <w:szCs w:val="24"/>
        </w:rPr>
        <w:outlineLvl w:val="0"/>
      </w:pPr>
      <w:r>
        <w:rPr>
          <w:rFonts w:eastAsia="Albany AMT"/>
          <w:sz w:val="24"/>
          <w:szCs w:val="24"/>
        </w:rPr>
        <w:t xml:space="preserve">паспорт серия _________ номер_______________, выдан: _________________________________</w:t>
      </w:r>
      <w:r>
        <w:rPr>
          <w:rFonts w:eastAsia="Albany AMT"/>
          <w:sz w:val="24"/>
          <w:szCs w:val="24"/>
        </w:rPr>
      </w:r>
      <w:r>
        <w:rPr>
          <w:rFonts w:eastAsia="Albany AMT"/>
          <w:sz w:val="24"/>
          <w:szCs w:val="24"/>
        </w:rPr>
      </w:r>
    </w:p>
    <w:p>
      <w:pPr>
        <w:ind w:left="23" w:right="-2" w:hanging="23"/>
        <w:rPr>
          <w:rFonts w:eastAsia="Albany AMT"/>
          <w:sz w:val="24"/>
          <w:szCs w:val="24"/>
        </w:rPr>
        <w:outlineLvl w:val="0"/>
      </w:pPr>
      <w:r>
        <w:rPr>
          <w:rFonts w:eastAsia="Albany AMT"/>
          <w:sz w:val="24"/>
          <w:szCs w:val="24"/>
        </w:rPr>
        <w:t xml:space="preserve">__________________________________________________________________________________,</w:t>
      </w:r>
      <w:r>
        <w:rPr>
          <w:rFonts w:eastAsia="Albany AMT"/>
          <w:sz w:val="24"/>
          <w:szCs w:val="24"/>
        </w:rPr>
      </w:r>
      <w:r>
        <w:rPr>
          <w:rFonts w:eastAsia="Albany AMT"/>
          <w:sz w:val="24"/>
          <w:szCs w:val="24"/>
        </w:rPr>
      </w:r>
    </w:p>
    <w:p>
      <w:pPr>
        <w:ind w:left="23" w:right="-2" w:hanging="23"/>
        <w:jc w:val="center"/>
        <w:rPr>
          <w:rFonts w:eastAsia="Albany AMT"/>
          <w:sz w:val="24"/>
          <w:szCs w:val="24"/>
          <w:vertAlign w:val="superscript"/>
        </w:rPr>
      </w:pPr>
      <w:r>
        <w:rPr>
          <w:rFonts w:eastAsia="Albany AMT"/>
          <w:sz w:val="24"/>
          <w:szCs w:val="24"/>
          <w:vertAlign w:val="superscript"/>
        </w:rPr>
        <w:t xml:space="preserve">(кем и когда выдан)</w:t>
      </w:r>
      <w:r>
        <w:rPr>
          <w:rFonts w:eastAsia="Albany AMT"/>
          <w:sz w:val="24"/>
          <w:szCs w:val="24"/>
          <w:vertAlign w:val="superscript"/>
        </w:rPr>
      </w:r>
      <w:r>
        <w:rPr>
          <w:rFonts w:eastAsia="Albany AMT"/>
          <w:sz w:val="24"/>
          <w:szCs w:val="24"/>
          <w:vertAlign w:val="superscript"/>
        </w:rPr>
      </w:r>
    </w:p>
    <w:p>
      <w:pPr>
        <w:ind w:left="23" w:right="-2" w:hanging="23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 9, п. 2 ч. 2 ст. 22, п. 6 ч. 3ст. 23 Федерального закона от 27.07.2006 N 152-ФЗ «О персональных данных», заявляет о согласии на обработку МАУ «РМЦ» моих персональных данных, включающих: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год рождения; месяц рождения; дата рождения;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место учёбы/работы;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реквизиты документа, удостоверяющего личность;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телефон;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другие персональн</w:t>
      </w:r>
      <w:r>
        <w:rPr>
          <w:sz w:val="24"/>
          <w:szCs w:val="24"/>
        </w:rPr>
        <w:t xml:space="preserve">ые данные, необходимые для реализации целей по обработке, анализу, аудиту и учету лиц, принимающих участие в Премии, а также их уведомлению о новостях, изменениях условий Премии, результатах Премии и другой информации, предусмотренной Положением о Премии;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иные сведения необходимые для участия в конкурсах/семинарах/иных мероприятиях.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2" w:firstLine="709"/>
        <w:rPr>
          <w:sz w:val="24"/>
          <w:szCs w:val="24"/>
        </w:rPr>
      </w:pPr>
      <w:r>
        <w:rPr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данных, котор</w:t>
      </w:r>
      <w:r>
        <w:rPr>
          <w:sz w:val="24"/>
          <w:szCs w:val="24"/>
        </w:rPr>
        <w:t xml:space="preserve">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лицам, включая средства массовой информации).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b/>
          <w:bCs/>
          <w:sz w:val="24"/>
          <w:szCs w:val="24"/>
          <w:highlight w:val="none"/>
        </w:rPr>
        <w:suppressLineNumbers w:val="0"/>
      </w:pPr>
      <w:r>
        <w:rPr>
          <w:b/>
          <w:sz w:val="24"/>
          <w:szCs w:val="24"/>
        </w:rPr>
        <w:t xml:space="preserve">Целью обработки персональных данных является: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соблюдение прав физических лиц при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Приложение 5 к Положению </w:t>
      </w:r>
      <w:r>
        <w:rPr>
          <w:sz w:val="20"/>
          <w:szCs w:val="20"/>
        </w:rPr>
        <w:br/>
        <w:t xml:space="preserve">об организации и проведении районного проекта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«Премия лучших добровольческих практик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10" w:right="-2" w:hanging="10"/>
        <w:jc w:val="right"/>
        <w:shd w:val="clear" w:color="auto" w:fill="ffffff"/>
        <w:rPr>
          <w:sz w:val="14"/>
          <w:szCs w:val="14"/>
        </w:rPr>
      </w:pPr>
      <w:r>
        <w:rPr>
          <w:sz w:val="20"/>
          <w:szCs w:val="20"/>
        </w:rPr>
        <w:t xml:space="preserve">«Одобрено добром»</w:t>
      </w: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ind w:right="-2" w:firstLine="709"/>
        <w:jc w:val="right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right="-2"/>
        <w:jc w:val="center"/>
        <w:rPr>
          <w:szCs w:val="28"/>
        </w:rPr>
      </w:pPr>
      <w:r>
        <w:rPr>
          <w:b/>
          <w:szCs w:val="28"/>
        </w:rPr>
        <w:t xml:space="preserve">Требования к видеороликам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ind w:right="-2"/>
        <w:jc w:val="center"/>
        <w:rPr>
          <w:b/>
          <w:szCs w:val="28"/>
        </w:rPr>
      </w:pPr>
      <w:r>
        <w:rPr>
          <w:b/>
          <w:szCs w:val="28"/>
        </w:rPr>
        <w:t xml:space="preserve">Премии </w:t>
      </w:r>
      <w:r>
        <w:rPr>
          <w:b/>
          <w:bCs/>
          <w:szCs w:val="28"/>
        </w:rPr>
        <w:t xml:space="preserve">лучших добровольческих практик </w:t>
      </w:r>
      <w:r>
        <w:rPr>
          <w:b/>
          <w:szCs w:val="28"/>
        </w:rPr>
        <w:t xml:space="preserve">Сургутского района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-2"/>
        <w:jc w:val="center"/>
        <w:rPr>
          <w:b/>
          <w:szCs w:val="28"/>
        </w:rPr>
      </w:pPr>
      <w:r>
        <w:rPr>
          <w:b/>
          <w:szCs w:val="28"/>
        </w:rPr>
        <w:t xml:space="preserve">«Одобрено добром» 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-2" w:firstLine="709"/>
        <w:jc w:val="center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945"/>
        <w:numPr>
          <w:ilvl w:val="0"/>
          <w:numId w:val="31"/>
        </w:numPr>
        <w:ind w:left="10" w:right="-2" w:firstLine="709"/>
        <w:rPr>
          <w:szCs w:val="28"/>
        </w:rPr>
      </w:pPr>
      <w:r>
        <w:rPr>
          <w:szCs w:val="28"/>
        </w:rPr>
      </w:r>
      <w:r>
        <w:rPr>
          <w:szCs w:val="28"/>
        </w:rPr>
        <w:t xml:space="preserve">Содержание видеоролика: раскрытие сути действующей или реализованной добровольческой инициативы/практики и ответы на следующие вопросы: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1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Кто является автором/реализует добровольческую инициативу/практику;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1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Что сделано, в чём заключается добровольческая инициатива/практика;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1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Кто является </w:t>
      </w:r>
      <w:r>
        <w:rPr>
          <w:szCs w:val="28"/>
        </w:rPr>
        <w:t xml:space="preserve">благополучателем</w:t>
      </w:r>
      <w:r>
        <w:rPr>
          <w:szCs w:val="28"/>
        </w:rPr>
        <w:t xml:space="preserve">, на кого направлена добровольческая инициатива/практи</w:t>
      </w:r>
      <w:r>
        <w:rPr>
          <w:szCs w:val="28"/>
        </w:rPr>
        <w:t xml:space="preserve">ка;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1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Какую проблему решает добровольческая инициатива/практика;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1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Промежуточный/итоговый результат добровольческой инициативы/практики.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0"/>
          <w:numId w:val="32"/>
        </w:numPr>
        <w:ind w:left="10" w:right="-2" w:firstLine="709"/>
        <w:widowControl w:val="off"/>
        <w:rPr>
          <w:szCs w:val="28"/>
        </w:rPr>
      </w:pPr>
      <w:r>
        <w:rPr>
          <w:szCs w:val="28"/>
        </w:rPr>
        <w:t xml:space="preserve">Видеоролики принимаются в количестве 1 (одного) видео; допустимый формат: </w:t>
      </w:r>
      <w:r>
        <w:rPr>
          <w:szCs w:val="28"/>
          <w:lang w:val="en-US"/>
        </w:rPr>
        <w:t xml:space="preserve">AVI</w:t>
      </w:r>
      <w:r>
        <w:rPr>
          <w:szCs w:val="28"/>
        </w:rPr>
        <w:t xml:space="preserve">, </w:t>
      </w:r>
      <w:r>
        <w:rPr>
          <w:szCs w:val="28"/>
          <w:lang w:val="en-US"/>
        </w:rPr>
        <w:t xml:space="preserve">MP</w:t>
      </w:r>
      <w:r>
        <w:rPr>
          <w:szCs w:val="28"/>
        </w:rPr>
        <w:t xml:space="preserve">4, </w:t>
      </w:r>
      <w:r>
        <w:rPr>
          <w:sz w:val="29"/>
          <w:szCs w:val="29"/>
          <w:shd w:val="clear" w:color="auto" w:fill="ffffff"/>
        </w:rPr>
        <w:t xml:space="preserve">в разрешении не менее 1080p.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0"/>
          <w:numId w:val="32"/>
        </w:numPr>
        <w:ind w:left="10" w:right="-2" w:firstLine="709"/>
        <w:widowControl w:val="off"/>
        <w:rPr>
          <w:szCs w:val="28"/>
        </w:rPr>
      </w:pPr>
      <w:r>
        <w:rPr>
          <w:szCs w:val="28"/>
        </w:rPr>
        <w:t xml:space="preserve">Чистый звук: отсутствуют посторонние шумы, эхо и реверберация; баланс между голосом и фоновой музыкой позволяет разобрать все слова.</w:t>
      </w:r>
      <w:r>
        <w:rPr>
          <w:szCs w:val="28"/>
        </w:rPr>
      </w:r>
      <w:r>
        <w:rPr>
          <w:szCs w:val="28"/>
        </w:rPr>
      </w:r>
    </w:p>
    <w:p>
      <w:pPr>
        <w:pStyle w:val="945"/>
        <w:numPr>
          <w:ilvl w:val="0"/>
          <w:numId w:val="32"/>
        </w:numPr>
        <w:ind w:left="10" w:right="-2" w:firstLine="709"/>
        <w:rPr>
          <w:szCs w:val="28"/>
        </w:rPr>
      </w:pPr>
      <w:r>
        <w:rPr>
          <w:szCs w:val="28"/>
        </w:rPr>
        <w:t xml:space="preserve">Длительность видео ролика 60-90 секунд.</w:t>
      </w:r>
      <w:r>
        <w:rPr>
          <w:szCs w:val="28"/>
        </w:rPr>
      </w:r>
      <w:r>
        <w:rPr>
          <w:szCs w:val="28"/>
        </w:rPr>
      </w:r>
    </w:p>
    <w:p>
      <w:pPr>
        <w:ind w:left="567" w:right="-2" w:hanging="567"/>
        <w:spacing w:after="0" w:afterAutospacing="0" w:line="240" w:lineRule="auto"/>
        <w:shd w:val="clear" w:color="auto" w:fill="ffffff"/>
        <w:rPr>
          <w:sz w:val="24"/>
          <w:szCs w:val="24"/>
        </w:rPr>
        <w:suppressLineNumbers w:val="0"/>
      </w:pPr>
      <w:r>
        <w:rPr>
          <w:b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4" w:h="16838" w:orient="portrait"/>
      <w:pgMar w:top="1134" w:right="567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Albany AMT">
    <w:panose1 w:val="02000000000000000000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100" w:firstLine="0"/>
      <w:jc w:val="right"/>
      <w:spacing w:after="0" w:line="259" w:lineRule="auto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spacing w:after="160" w:line="259" w:lineRule="auto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570" w:hanging="360"/>
      </w:pPr>
      <w:rPr>
        <w:rFonts w:hint="default"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0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3"/>
      <w:numFmt w:val="decimal"/>
      <w:isLgl w:val="false"/>
      <w:suff w:val="tab"/>
      <w:lvlText w:val="%1.%2"/>
      <w:lvlJc w:val="left"/>
      <w:pPr>
        <w:ind w:left="785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Restart w:val="0"/>
      <w:isLgl w:val="false"/>
      <w:suff w:val="tab"/>
      <w:lvlText w:val="%1.%2.%3."/>
      <w:lvlJc w:val="left"/>
      <w:pPr>
        <w:ind w:left="8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13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0" w:hanging="180"/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580" w:hanging="87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13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232" w:hanging="450"/>
      </w:pPr>
      <w:rPr>
        <w:rFonts w:hint="default" w:eastAsia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eastAsia="Times New Roman"/>
        <w:b w:val="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525" w:hanging="720"/>
      </w:pPr>
      <w:rPr>
        <w:rFonts w:hint="default" w:eastAsia="Times New Roman"/>
        <w:b w:val="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 w:eastAsia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eastAsia="Times New Roman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 w:eastAsia="Times New Roman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 w:eastAsia="Times New Roman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 w:eastAsia="Times New Roman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 w:eastAsia="Times New Roman"/>
        <w:b w:val="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127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0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6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6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580" w:hanging="87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6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7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580" w:hanging="87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3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5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9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>
      <w:start w:val="1"/>
      <w:numFmt w:val="decimal"/>
      <w:isLgl/>
      <w:suff w:val="tab"/>
      <w:lvlText w:val="%1.%2."/>
      <w:lvlJc w:val="left"/>
      <w:pPr>
        <w:ind w:left="1580" w:hanging="870"/>
      </w:pPr>
      <w:rPr>
        <w:rFonts w:hint="default"/>
        <w:sz w:val="28"/>
      </w:rPr>
    </w:lvl>
    <w:lvl w:ilvl="2">
      <w:start w:val="1"/>
      <w:numFmt w:val="decimal"/>
      <w:isLgl/>
      <w:suff w:val="tab"/>
      <w:lvlText w:val="%1.%2.%3."/>
      <w:lvlJc w:val="left"/>
      <w:pPr>
        <w:ind w:left="1580" w:hanging="87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1"/>
  </w:num>
  <w:num w:numId="5">
    <w:abstractNumId w:val="7"/>
  </w:num>
  <w:num w:numId="6">
    <w:abstractNumId w:val="9"/>
  </w:num>
  <w:num w:numId="7">
    <w:abstractNumId w:val="22"/>
  </w:num>
  <w:num w:numId="8">
    <w:abstractNumId w:val="5"/>
  </w:num>
  <w:num w:numId="9">
    <w:abstractNumId w:val="18"/>
  </w:num>
  <w:num w:numId="10">
    <w:abstractNumId w:val="15"/>
  </w:num>
  <w:num w:numId="11">
    <w:abstractNumId w:val="6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16">
    <w:abstractNumId w:val="25"/>
  </w:num>
  <w:num w:numId="17">
    <w:abstractNumId w:val="21"/>
  </w:num>
  <w:num w:numId="18">
    <w:abstractNumId w:val="13"/>
  </w:num>
  <w:num w:numId="19">
    <w:abstractNumId w:val="19"/>
  </w:num>
  <w:num w:numId="20">
    <w:abstractNumId w:val="8"/>
  </w:num>
  <w:num w:numId="21">
    <w:abstractNumId w:val="10"/>
  </w:num>
  <w:num w:numId="22">
    <w:abstractNumId w:val="11"/>
  </w:num>
  <w:num w:numId="23">
    <w:abstractNumId w:val="4"/>
  </w:num>
  <w:num w:numId="24">
    <w:abstractNumId w:val="23"/>
  </w:num>
  <w:num w:numId="25">
    <w:abstractNumId w:val="3"/>
  </w:num>
  <w:num w:numId="26">
    <w:abstractNumId w:val="24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Heading 3 Char"/>
    <w:basedOn w:val="774"/>
    <w:link w:val="76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0">
    <w:name w:val="Heading 4 Char"/>
    <w:basedOn w:val="774"/>
    <w:link w:val="7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1">
    <w:name w:val="Heading 5 Char"/>
    <w:basedOn w:val="774"/>
    <w:link w:val="7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2">
    <w:name w:val="Heading 6 Char"/>
    <w:basedOn w:val="774"/>
    <w:link w:val="77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3">
    <w:name w:val="Heading 7 Char"/>
    <w:basedOn w:val="774"/>
    <w:link w:val="7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4">
    <w:name w:val="Heading 8 Char"/>
    <w:basedOn w:val="774"/>
    <w:link w:val="77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5">
    <w:name w:val="Heading 9 Char"/>
    <w:basedOn w:val="774"/>
    <w:link w:val="7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6">
    <w:name w:val="Title Char"/>
    <w:basedOn w:val="774"/>
    <w:link w:val="787"/>
    <w:uiPriority w:val="10"/>
    <w:rPr>
      <w:sz w:val="48"/>
      <w:szCs w:val="48"/>
    </w:rPr>
  </w:style>
  <w:style w:type="character" w:styleId="757">
    <w:name w:val="Subtitle Char"/>
    <w:basedOn w:val="774"/>
    <w:link w:val="789"/>
    <w:uiPriority w:val="11"/>
    <w:rPr>
      <w:sz w:val="24"/>
      <w:szCs w:val="24"/>
    </w:rPr>
  </w:style>
  <w:style w:type="character" w:styleId="758">
    <w:name w:val="Quote Char"/>
    <w:link w:val="791"/>
    <w:uiPriority w:val="29"/>
    <w:rPr>
      <w:i/>
    </w:rPr>
  </w:style>
  <w:style w:type="character" w:styleId="759">
    <w:name w:val="Intense Quote Char"/>
    <w:link w:val="793"/>
    <w:uiPriority w:val="30"/>
    <w:rPr>
      <w:i/>
    </w:rPr>
  </w:style>
  <w:style w:type="character" w:styleId="760">
    <w:name w:val="Header Char"/>
    <w:basedOn w:val="774"/>
    <w:link w:val="795"/>
    <w:uiPriority w:val="99"/>
  </w:style>
  <w:style w:type="character" w:styleId="761">
    <w:name w:val="Caption Char"/>
    <w:basedOn w:val="774"/>
    <w:link w:val="798"/>
    <w:uiPriority w:val="35"/>
    <w:rPr>
      <w:b/>
      <w:bCs/>
      <w:color w:val="4f81bd" w:themeColor="accent1"/>
      <w:sz w:val="18"/>
      <w:szCs w:val="18"/>
    </w:rPr>
  </w:style>
  <w:style w:type="character" w:styleId="762">
    <w:name w:val="Footnote Text Char"/>
    <w:link w:val="925"/>
    <w:uiPriority w:val="99"/>
    <w:rPr>
      <w:sz w:val="18"/>
    </w:rPr>
  </w:style>
  <w:style w:type="character" w:styleId="763">
    <w:name w:val="Endnote Text Char"/>
    <w:link w:val="928"/>
    <w:uiPriority w:val="99"/>
    <w:rPr>
      <w:sz w:val="20"/>
    </w:rPr>
  </w:style>
  <w:style w:type="paragraph" w:styleId="764" w:default="1">
    <w:name w:val="Normal"/>
    <w:qFormat/>
    <w:pPr>
      <w:ind w:left="10" w:right="371" w:hanging="10"/>
      <w:jc w:val="both"/>
      <w:spacing w:after="14" w:line="270" w:lineRule="auto"/>
    </w:pPr>
    <w:rPr>
      <w:rFonts w:ascii="Times New Roman" w:hAnsi="Times New Roman" w:eastAsia="Times New Roman" w:cs="Times New Roman"/>
      <w:color w:val="000000"/>
      <w:sz w:val="28"/>
    </w:rPr>
  </w:style>
  <w:style w:type="paragraph" w:styleId="765">
    <w:name w:val="Heading 1"/>
    <w:next w:val="764"/>
    <w:link w:val="943"/>
    <w:uiPriority w:val="9"/>
    <w:unhideWhenUsed/>
    <w:qFormat/>
    <w:pPr>
      <w:ind w:left="10" w:right="361" w:hanging="10"/>
      <w:jc w:val="center"/>
      <w:keepLines/>
      <w:keepNext/>
      <w:spacing w:after="0"/>
      <w:outlineLvl w:val="0"/>
    </w:pPr>
    <w:rPr>
      <w:rFonts w:ascii="Times New Roman" w:hAnsi="Times New Roman" w:eastAsia="Times New Roman" w:cs="Times New Roman"/>
      <w:b/>
      <w:color w:val="000000"/>
      <w:sz w:val="32"/>
    </w:rPr>
  </w:style>
  <w:style w:type="paragraph" w:styleId="766">
    <w:name w:val="Heading 2"/>
    <w:next w:val="764"/>
    <w:link w:val="942"/>
    <w:uiPriority w:val="9"/>
    <w:unhideWhenUsed/>
    <w:qFormat/>
    <w:pPr>
      <w:ind w:left="245" w:hanging="10"/>
      <w:jc w:val="center"/>
      <w:keepLines/>
      <w:keepNext/>
      <w:spacing w:after="4"/>
      <w:outlineLvl w:val="1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67">
    <w:name w:val="Heading 3"/>
    <w:basedOn w:val="764"/>
    <w:next w:val="764"/>
    <w:link w:val="7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8">
    <w:name w:val="Heading 4"/>
    <w:basedOn w:val="764"/>
    <w:next w:val="764"/>
    <w:link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764"/>
    <w:next w:val="764"/>
    <w:link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764"/>
    <w:next w:val="764"/>
    <w:link w:val="7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771">
    <w:name w:val="Heading 7"/>
    <w:basedOn w:val="764"/>
    <w:next w:val="764"/>
    <w:link w:val="7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72">
    <w:name w:val="Heading 8"/>
    <w:basedOn w:val="764"/>
    <w:next w:val="764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773">
    <w:name w:val="Heading 9"/>
    <w:basedOn w:val="764"/>
    <w:next w:val="764"/>
    <w:link w:val="7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 w:default="1">
    <w:name w:val="Default Paragraph Font"/>
    <w:uiPriority w:val="1"/>
    <w:semiHidden/>
    <w:unhideWhenUsed/>
  </w:style>
  <w:style w:type="table" w:styleId="7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6" w:default="1">
    <w:name w:val="No List"/>
    <w:uiPriority w:val="99"/>
    <w:semiHidden/>
    <w:unhideWhenUsed/>
  </w:style>
  <w:style w:type="character" w:styleId="777" w:customStyle="1">
    <w:name w:val="Heading 1 Char"/>
    <w:basedOn w:val="774"/>
    <w:uiPriority w:val="9"/>
    <w:rPr>
      <w:rFonts w:ascii="Arial" w:hAnsi="Arial" w:eastAsia="Arial" w:cs="Arial"/>
      <w:sz w:val="40"/>
      <w:szCs w:val="40"/>
    </w:rPr>
  </w:style>
  <w:style w:type="character" w:styleId="778" w:customStyle="1">
    <w:name w:val="Heading 2 Char"/>
    <w:basedOn w:val="774"/>
    <w:uiPriority w:val="9"/>
    <w:rPr>
      <w:rFonts w:ascii="Arial" w:hAnsi="Arial" w:eastAsia="Arial" w:cs="Arial"/>
      <w:sz w:val="34"/>
    </w:rPr>
  </w:style>
  <w:style w:type="character" w:styleId="779" w:customStyle="1">
    <w:name w:val="Заголовок 3 Знак"/>
    <w:basedOn w:val="774"/>
    <w:link w:val="767"/>
    <w:uiPriority w:val="9"/>
    <w:rPr>
      <w:rFonts w:ascii="Arial" w:hAnsi="Arial" w:eastAsia="Arial" w:cs="Arial"/>
      <w:sz w:val="30"/>
      <w:szCs w:val="30"/>
    </w:rPr>
  </w:style>
  <w:style w:type="character" w:styleId="780" w:customStyle="1">
    <w:name w:val="Заголовок 4 Знак"/>
    <w:basedOn w:val="774"/>
    <w:link w:val="768"/>
    <w:uiPriority w:val="9"/>
    <w:rPr>
      <w:rFonts w:ascii="Arial" w:hAnsi="Arial" w:eastAsia="Arial" w:cs="Arial"/>
      <w:b/>
      <w:bCs/>
      <w:sz w:val="26"/>
      <w:szCs w:val="26"/>
    </w:rPr>
  </w:style>
  <w:style w:type="character" w:styleId="781" w:customStyle="1">
    <w:name w:val="Заголовок 5 Знак"/>
    <w:basedOn w:val="774"/>
    <w:link w:val="769"/>
    <w:uiPriority w:val="9"/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Заголовок 6 Знак"/>
    <w:basedOn w:val="774"/>
    <w:link w:val="770"/>
    <w:uiPriority w:val="9"/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Заголовок 7 Знак"/>
    <w:basedOn w:val="774"/>
    <w:link w:val="7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Заголовок 8 Знак"/>
    <w:basedOn w:val="774"/>
    <w:link w:val="772"/>
    <w:uiPriority w:val="9"/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Заголовок 9 Знак"/>
    <w:basedOn w:val="774"/>
    <w:link w:val="773"/>
    <w:uiPriority w:val="9"/>
    <w:rPr>
      <w:rFonts w:ascii="Arial" w:hAnsi="Arial" w:eastAsia="Arial" w:cs="Arial"/>
      <w:i/>
      <w:iCs/>
      <w:sz w:val="21"/>
      <w:szCs w:val="21"/>
    </w:rPr>
  </w:style>
  <w:style w:type="paragraph" w:styleId="786">
    <w:name w:val="No Spacing"/>
    <w:uiPriority w:val="1"/>
    <w:qFormat/>
    <w:pPr>
      <w:spacing w:after="0" w:line="240" w:lineRule="auto"/>
    </w:pPr>
  </w:style>
  <w:style w:type="paragraph" w:styleId="787">
    <w:name w:val="Title"/>
    <w:basedOn w:val="764"/>
    <w:next w:val="764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 w:customStyle="1">
    <w:name w:val="Заголовок Знак"/>
    <w:basedOn w:val="774"/>
    <w:link w:val="787"/>
    <w:uiPriority w:val="10"/>
    <w:rPr>
      <w:sz w:val="48"/>
      <w:szCs w:val="48"/>
    </w:rPr>
  </w:style>
  <w:style w:type="paragraph" w:styleId="789">
    <w:name w:val="Subtitle"/>
    <w:basedOn w:val="764"/>
    <w:next w:val="764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 w:customStyle="1">
    <w:name w:val="Подзаголовок Знак"/>
    <w:basedOn w:val="774"/>
    <w:link w:val="789"/>
    <w:uiPriority w:val="11"/>
    <w:rPr>
      <w:sz w:val="24"/>
      <w:szCs w:val="24"/>
    </w:rPr>
  </w:style>
  <w:style w:type="paragraph" w:styleId="791">
    <w:name w:val="Quote"/>
    <w:basedOn w:val="764"/>
    <w:next w:val="764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basedOn w:val="764"/>
    <w:next w:val="764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paragraph" w:styleId="795">
    <w:name w:val="Header"/>
    <w:basedOn w:val="764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 w:customStyle="1">
    <w:name w:val="Верхний колонтитул Знак"/>
    <w:basedOn w:val="774"/>
    <w:link w:val="795"/>
    <w:uiPriority w:val="99"/>
  </w:style>
  <w:style w:type="character" w:styleId="797" w:customStyle="1">
    <w:name w:val="Footer Char"/>
    <w:basedOn w:val="774"/>
    <w:uiPriority w:val="99"/>
  </w:style>
  <w:style w:type="paragraph" w:styleId="798">
    <w:name w:val="Caption"/>
    <w:basedOn w:val="764"/>
    <w:next w:val="764"/>
    <w:link w:val="79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99" w:customStyle="1">
    <w:name w:val="Название объекта Знак"/>
    <w:basedOn w:val="774"/>
    <w:link w:val="798"/>
    <w:uiPriority w:val="35"/>
    <w:rPr>
      <w:b/>
      <w:bCs/>
      <w:color w:val="5b9bd5" w:themeColor="accent1"/>
      <w:sz w:val="18"/>
      <w:szCs w:val="18"/>
    </w:rPr>
  </w:style>
  <w:style w:type="table" w:styleId="800" w:customStyle="1">
    <w:name w:val="Table Grid Light"/>
    <w:basedOn w:val="7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1">
    <w:name w:val="Plain Table 1"/>
    <w:basedOn w:val="7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basedOn w:val="77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 w:customStyle="1">
    <w:name w:val="Grid Table 4 - Accent 1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9" w:customStyle="1">
    <w:name w:val="Grid Table 4 - Accent 2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0" w:customStyle="1">
    <w:name w:val="Grid Table 4 - Accent 3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1" w:customStyle="1">
    <w:name w:val="Grid Table 4 - Accent 4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2" w:customStyle="1">
    <w:name w:val="Grid Table 4 - Accent 5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3" w:customStyle="1">
    <w:name w:val="Grid Table 4 - Accent 6"/>
    <w:basedOn w:val="7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4">
    <w:name w:val="Grid Table 5 Dark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1">
    <w:name w:val="Grid Table 6 Colorful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2" w:customStyle="1">
    <w:name w:val="Grid Table 6 Colorful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3" w:customStyle="1">
    <w:name w:val="Grid Table 6 Colorful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4" w:customStyle="1">
    <w:name w:val="Grid Table 6 Colorful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5" w:customStyle="1">
    <w:name w:val="Grid Table 6 Colorful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6" w:customStyle="1">
    <w:name w:val="Grid Table 6 Colorful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7" w:customStyle="1">
    <w:name w:val="Grid Table 6 Colorful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8">
    <w:name w:val="Grid Table 7 Colorful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7 Colorful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7 Colorful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1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2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3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4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5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6"/>
    <w:basedOn w:val="7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>
    <w:name w:val="List Table 6 Colorful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1" w:customStyle="1">
    <w:name w:val="List Table 6 Colorful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2" w:customStyle="1">
    <w:name w:val="List Table 6 Colorful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3" w:customStyle="1">
    <w:name w:val="List Table 6 Colorful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4" w:customStyle="1">
    <w:name w:val="List Table 6 Colorful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5" w:customStyle="1">
    <w:name w:val="List Table 6 Colorful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6" w:customStyle="1">
    <w:name w:val="List Table 6 Colorful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7">
    <w:name w:val="List Table 7 Colorful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7 Colorful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7 Colorful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ned - Accent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5" w:customStyle="1">
    <w:name w:val="Lined - Accent 1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6" w:customStyle="1">
    <w:name w:val="Lined - Accent 2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7" w:customStyle="1">
    <w:name w:val="Lined - Accent 3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8" w:customStyle="1">
    <w:name w:val="Lined - Accent 4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9" w:customStyle="1">
    <w:name w:val="Lined - Accent 5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0" w:customStyle="1">
    <w:name w:val="Lined - Accent 6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1" w:customStyle="1">
    <w:name w:val="Bordered &amp; Lined - Accent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2" w:customStyle="1">
    <w:name w:val="Bordered &amp; Lined - Accent 1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3" w:customStyle="1">
    <w:name w:val="Bordered &amp; Lined - Accent 2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4" w:customStyle="1">
    <w:name w:val="Bordered &amp; Lined - Accent 3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5" w:customStyle="1">
    <w:name w:val="Bordered &amp; Lined - Accent 4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6" w:customStyle="1">
    <w:name w:val="Bordered &amp; Lined - Accent 5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7" w:customStyle="1">
    <w:name w:val="Bordered &amp; Lined - Accent 6"/>
    <w:basedOn w:val="77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8" w:customStyle="1">
    <w:name w:val="Bordered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9" w:customStyle="1">
    <w:name w:val="Bordered - Accent 1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20" w:customStyle="1">
    <w:name w:val="Bordered - Accent 2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1" w:customStyle="1">
    <w:name w:val="Bordered - Accent 3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2" w:customStyle="1">
    <w:name w:val="Bordered - Accent 4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3" w:customStyle="1">
    <w:name w:val="Bordered - Accent 5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4" w:customStyle="1">
    <w:name w:val="Bordered - Accent 6"/>
    <w:basedOn w:val="7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25">
    <w:name w:val="footnote text"/>
    <w:basedOn w:val="764"/>
    <w:link w:val="926"/>
    <w:uiPriority w:val="99"/>
    <w:semiHidden/>
    <w:unhideWhenUsed/>
    <w:pPr>
      <w:spacing w:after="40" w:line="240" w:lineRule="auto"/>
    </w:pPr>
    <w:rPr>
      <w:sz w:val="18"/>
    </w:rPr>
  </w:style>
  <w:style w:type="character" w:styleId="926" w:customStyle="1">
    <w:name w:val="Текст сноски Знак"/>
    <w:link w:val="925"/>
    <w:uiPriority w:val="99"/>
    <w:rPr>
      <w:sz w:val="18"/>
    </w:rPr>
  </w:style>
  <w:style w:type="character" w:styleId="927">
    <w:name w:val="footnote reference"/>
    <w:basedOn w:val="774"/>
    <w:uiPriority w:val="99"/>
    <w:unhideWhenUsed/>
    <w:rPr>
      <w:vertAlign w:val="superscript"/>
    </w:rPr>
  </w:style>
  <w:style w:type="paragraph" w:styleId="928">
    <w:name w:val="endnote text"/>
    <w:basedOn w:val="764"/>
    <w:link w:val="929"/>
    <w:uiPriority w:val="99"/>
    <w:semiHidden/>
    <w:unhideWhenUsed/>
    <w:pPr>
      <w:spacing w:after="0" w:line="240" w:lineRule="auto"/>
    </w:pPr>
    <w:rPr>
      <w:sz w:val="20"/>
    </w:rPr>
  </w:style>
  <w:style w:type="character" w:styleId="929" w:customStyle="1">
    <w:name w:val="Текст концевой сноски Знак"/>
    <w:link w:val="928"/>
    <w:uiPriority w:val="99"/>
    <w:rPr>
      <w:sz w:val="20"/>
    </w:rPr>
  </w:style>
  <w:style w:type="character" w:styleId="930">
    <w:name w:val="endnote reference"/>
    <w:basedOn w:val="774"/>
    <w:uiPriority w:val="99"/>
    <w:semiHidden/>
    <w:unhideWhenUsed/>
    <w:rPr>
      <w:vertAlign w:val="superscript"/>
    </w:rPr>
  </w:style>
  <w:style w:type="paragraph" w:styleId="931">
    <w:name w:val="toc 1"/>
    <w:basedOn w:val="764"/>
    <w:next w:val="764"/>
    <w:uiPriority w:val="39"/>
    <w:unhideWhenUsed/>
    <w:pPr>
      <w:ind w:left="0" w:right="0" w:firstLine="0"/>
      <w:spacing w:after="57"/>
    </w:pPr>
  </w:style>
  <w:style w:type="paragraph" w:styleId="932">
    <w:name w:val="toc 2"/>
    <w:basedOn w:val="764"/>
    <w:next w:val="764"/>
    <w:uiPriority w:val="39"/>
    <w:unhideWhenUsed/>
    <w:pPr>
      <w:ind w:left="283" w:right="0" w:firstLine="0"/>
      <w:spacing w:after="57"/>
    </w:pPr>
  </w:style>
  <w:style w:type="paragraph" w:styleId="933">
    <w:name w:val="toc 3"/>
    <w:basedOn w:val="764"/>
    <w:next w:val="764"/>
    <w:uiPriority w:val="39"/>
    <w:unhideWhenUsed/>
    <w:pPr>
      <w:ind w:left="567" w:right="0" w:firstLine="0"/>
      <w:spacing w:after="57"/>
    </w:pPr>
  </w:style>
  <w:style w:type="paragraph" w:styleId="934">
    <w:name w:val="toc 4"/>
    <w:basedOn w:val="764"/>
    <w:next w:val="764"/>
    <w:uiPriority w:val="39"/>
    <w:unhideWhenUsed/>
    <w:pPr>
      <w:ind w:left="850" w:right="0" w:firstLine="0"/>
      <w:spacing w:after="57"/>
    </w:pPr>
  </w:style>
  <w:style w:type="paragraph" w:styleId="935">
    <w:name w:val="toc 5"/>
    <w:basedOn w:val="764"/>
    <w:next w:val="764"/>
    <w:uiPriority w:val="39"/>
    <w:unhideWhenUsed/>
    <w:pPr>
      <w:ind w:left="1134" w:right="0" w:firstLine="0"/>
      <w:spacing w:after="57"/>
    </w:pPr>
  </w:style>
  <w:style w:type="paragraph" w:styleId="936">
    <w:name w:val="toc 6"/>
    <w:basedOn w:val="764"/>
    <w:next w:val="764"/>
    <w:uiPriority w:val="39"/>
    <w:unhideWhenUsed/>
    <w:pPr>
      <w:ind w:left="1417" w:right="0" w:firstLine="0"/>
      <w:spacing w:after="57"/>
    </w:pPr>
  </w:style>
  <w:style w:type="paragraph" w:styleId="937">
    <w:name w:val="toc 7"/>
    <w:basedOn w:val="764"/>
    <w:next w:val="764"/>
    <w:uiPriority w:val="39"/>
    <w:unhideWhenUsed/>
    <w:pPr>
      <w:ind w:left="1701" w:right="0" w:firstLine="0"/>
      <w:spacing w:after="57"/>
    </w:pPr>
  </w:style>
  <w:style w:type="paragraph" w:styleId="938">
    <w:name w:val="toc 8"/>
    <w:basedOn w:val="764"/>
    <w:next w:val="764"/>
    <w:uiPriority w:val="39"/>
    <w:unhideWhenUsed/>
    <w:pPr>
      <w:ind w:left="1984" w:right="0" w:firstLine="0"/>
      <w:spacing w:after="57"/>
    </w:pPr>
  </w:style>
  <w:style w:type="paragraph" w:styleId="939">
    <w:name w:val="toc 9"/>
    <w:basedOn w:val="764"/>
    <w:next w:val="764"/>
    <w:uiPriority w:val="39"/>
    <w:unhideWhenUsed/>
    <w:pPr>
      <w:ind w:left="2268" w:right="0" w:firstLine="0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764"/>
    <w:next w:val="764"/>
    <w:uiPriority w:val="99"/>
    <w:unhideWhenUsed/>
    <w:pPr>
      <w:spacing w:after="0"/>
    </w:pPr>
  </w:style>
  <w:style w:type="character" w:styleId="942" w:customStyle="1">
    <w:name w:val="Заголовок 2 Знак"/>
    <w:link w:val="766"/>
    <w:rPr>
      <w:rFonts w:ascii="Times New Roman" w:hAnsi="Times New Roman" w:eastAsia="Times New Roman" w:cs="Times New Roman"/>
      <w:b/>
      <w:color w:val="000000"/>
      <w:sz w:val="28"/>
    </w:rPr>
  </w:style>
  <w:style w:type="character" w:styleId="943" w:customStyle="1">
    <w:name w:val="Заголовок 1 Знак"/>
    <w:link w:val="765"/>
    <w:rPr>
      <w:rFonts w:ascii="Times New Roman" w:hAnsi="Times New Roman" w:eastAsia="Times New Roman" w:cs="Times New Roman"/>
      <w:b/>
      <w:color w:val="000000"/>
      <w:sz w:val="32"/>
    </w:rPr>
  </w:style>
  <w:style w:type="table" w:styleId="944" w:customStyle="1">
    <w:name w:val="Сетка таблицы1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45">
    <w:name w:val="List Paragraph"/>
    <w:basedOn w:val="764"/>
    <w:uiPriority w:val="34"/>
    <w:qFormat/>
    <w:pPr>
      <w:contextualSpacing/>
      <w:ind w:left="720"/>
    </w:pPr>
  </w:style>
  <w:style w:type="character" w:styleId="946">
    <w:name w:val="Hyperlink"/>
    <w:basedOn w:val="774"/>
    <w:uiPriority w:val="99"/>
    <w:unhideWhenUsed/>
    <w:rPr>
      <w:color w:val="0000ff"/>
      <w:u w:val="single"/>
    </w:rPr>
  </w:style>
  <w:style w:type="character" w:styleId="947">
    <w:name w:val="FollowedHyperlink"/>
    <w:basedOn w:val="774"/>
    <w:uiPriority w:val="99"/>
    <w:semiHidden/>
    <w:unhideWhenUsed/>
    <w:rPr>
      <w:color w:val="954f72" w:themeColor="followedHyperlink"/>
      <w:u w:val="single"/>
    </w:rPr>
  </w:style>
  <w:style w:type="paragraph" w:styleId="948">
    <w:name w:val="Footer"/>
    <w:basedOn w:val="764"/>
    <w:link w:val="9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9" w:customStyle="1">
    <w:name w:val="Нижний колонтитул Знак"/>
    <w:basedOn w:val="774"/>
    <w:link w:val="948"/>
    <w:uiPriority w:val="99"/>
    <w:rPr>
      <w:rFonts w:ascii="Times New Roman" w:hAnsi="Times New Roman" w:eastAsia="Times New Roman" w:cs="Times New Roman"/>
      <w:color w:val="000000"/>
      <w:sz w:val="28"/>
    </w:rPr>
  </w:style>
  <w:style w:type="character" w:styleId="950">
    <w:name w:val="annotation reference"/>
    <w:basedOn w:val="774"/>
    <w:uiPriority w:val="99"/>
    <w:semiHidden/>
    <w:unhideWhenUsed/>
    <w:rPr>
      <w:sz w:val="16"/>
      <w:szCs w:val="16"/>
    </w:rPr>
  </w:style>
  <w:style w:type="paragraph" w:styleId="951">
    <w:name w:val="annotation text"/>
    <w:basedOn w:val="764"/>
    <w:link w:val="95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52" w:customStyle="1">
    <w:name w:val="Текст примечания Знак"/>
    <w:basedOn w:val="774"/>
    <w:link w:val="951"/>
    <w:uiPriority w:val="99"/>
    <w:semiHidden/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953">
    <w:name w:val="annotation subject"/>
    <w:basedOn w:val="951"/>
    <w:next w:val="951"/>
    <w:link w:val="954"/>
    <w:uiPriority w:val="99"/>
    <w:semiHidden/>
    <w:unhideWhenUsed/>
    <w:rPr>
      <w:b/>
      <w:bCs/>
    </w:rPr>
  </w:style>
  <w:style w:type="character" w:styleId="954" w:customStyle="1">
    <w:name w:val="Тема примечания Знак"/>
    <w:basedOn w:val="952"/>
    <w:link w:val="953"/>
    <w:uiPriority w:val="99"/>
    <w:semiHidden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paragraph" w:styleId="955">
    <w:name w:val="Balloon Text"/>
    <w:basedOn w:val="764"/>
    <w:link w:val="95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6" w:customStyle="1">
    <w:name w:val="Текст выноски Знак"/>
    <w:basedOn w:val="774"/>
    <w:link w:val="955"/>
    <w:uiPriority w:val="99"/>
    <w:semiHidden/>
    <w:rPr>
      <w:rFonts w:ascii="Segoe UI" w:hAnsi="Segoe UI" w:eastAsia="Times New Roman" w:cs="Segoe UI"/>
      <w:color w:val="000000"/>
      <w:sz w:val="18"/>
      <w:szCs w:val="18"/>
    </w:rPr>
  </w:style>
  <w:style w:type="table" w:styleId="957" w:customStyle="1">
    <w:name w:val="Сетка таблицы11"/>
    <w:basedOn w:val="775"/>
    <w:next w:val="959"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8" w:customStyle="1">
    <w:name w:val="Сетка таблицы22"/>
    <w:basedOn w:val="775"/>
    <w:next w:val="959"/>
    <w:uiPriority w:val="39"/>
    <w:pPr>
      <w:jc w:val="both"/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9">
    <w:name w:val="Table Grid"/>
    <w:basedOn w:val="7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0" w:customStyle="1">
    <w:name w:val="Сетка таблицы31"/>
    <w:basedOn w:val="775"/>
    <w:next w:val="959"/>
    <w:uiPriority w:val="39"/>
    <w:pPr>
      <w:jc w:val="both"/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1" w:customStyle="1">
    <w:name w:val="Сетка таблицы1"/>
    <w:uiPriority w:val="59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Волга Светлана Илларионовна</dc:creator>
  <cp:keywords/>
  <cp:lastModifiedBy>IlyashenkoPA</cp:lastModifiedBy>
  <cp:revision>22</cp:revision>
  <dcterms:created xsi:type="dcterms:W3CDTF">2025-07-02T04:16:00Z</dcterms:created>
  <dcterms:modified xsi:type="dcterms:W3CDTF">2026-09-07T09:23:52Z</dcterms:modified>
</cp:coreProperties>
</file>